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技术参数要求</w:t>
      </w:r>
    </w:p>
    <w:tbl>
      <w:tblPr>
        <w:tblStyle w:val="7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701"/>
        <w:gridCol w:w="5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704" w:type="dxa"/>
            <w:shd w:val="clear" w:color="auto" w:fill="A5A5A5" w:themeFill="background1" w:themeFillShade="A6"/>
            <w:vAlign w:val="center"/>
          </w:tcPr>
          <w:p>
            <w:pPr>
              <w:spacing w:line="0" w:lineRule="atLeast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名称</w:t>
            </w:r>
          </w:p>
        </w:tc>
        <w:tc>
          <w:tcPr>
            <w:tcW w:w="1701" w:type="dxa"/>
            <w:shd w:val="clear" w:color="auto" w:fill="A5A5A5" w:themeFill="background1" w:themeFillShade="A6"/>
            <w:vAlign w:val="center"/>
          </w:tcPr>
          <w:p>
            <w:pPr>
              <w:pStyle w:val="3"/>
              <w:spacing w:before="0" w:after="0" w:line="0" w:lineRule="atLeast"/>
              <w:outlineLvl w:val="1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功能及技术指标</w:t>
            </w:r>
          </w:p>
        </w:tc>
        <w:tc>
          <w:tcPr>
            <w:tcW w:w="5891" w:type="dxa"/>
            <w:shd w:val="clear" w:color="auto" w:fill="A5A5A5" w:themeFill="background1" w:themeFillShade="A6"/>
            <w:vAlign w:val="center"/>
          </w:tcPr>
          <w:p>
            <w:pPr>
              <w:pStyle w:val="3"/>
              <w:spacing w:before="0" w:after="0" w:line="0" w:lineRule="atLeast"/>
              <w:outlineLvl w:val="1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具体参数要求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04" w:type="dxa"/>
            <w:vMerge w:val="restart"/>
            <w:vAlign w:val="center"/>
          </w:tcPr>
          <w:p>
            <w:pPr>
              <w:spacing w:line="0" w:lineRule="atLeas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资源统一管理平台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pStyle w:val="3"/>
              <w:spacing w:line="0" w:lineRule="atLeast"/>
              <w:outlineLvl w:val="1"/>
              <w:rPr>
                <w:rFonts w:ascii="微软雅黑" w:hAnsi="微软雅黑" w:eastAsia="微软雅黑"/>
                <w:b w:val="0"/>
                <w:sz w:val="21"/>
                <w:szCs w:val="21"/>
                <w:highlight w:val="yellow"/>
              </w:rPr>
            </w:pPr>
            <w:r>
              <w:rPr>
                <w:rFonts w:hint="eastAsia" w:ascii="微软雅黑" w:hAnsi="微软雅黑" w:eastAsia="微软雅黑"/>
                <w:b w:val="0"/>
                <w:sz w:val="21"/>
                <w:szCs w:val="21"/>
              </w:rPr>
              <w:t>性能要求</w:t>
            </w:r>
          </w:p>
        </w:tc>
        <w:tc>
          <w:tcPr>
            <w:tcW w:w="5891" w:type="dxa"/>
            <w:vAlign w:val="center"/>
          </w:tcPr>
          <w:p>
            <w:pPr>
              <w:pStyle w:val="3"/>
              <w:spacing w:before="0" w:after="0" w:line="0" w:lineRule="atLeast"/>
              <w:outlineLvl w:val="1"/>
              <w:rPr>
                <w:rFonts w:ascii="微软雅黑" w:hAnsi="微软雅黑" w:eastAsia="微软雅黑"/>
                <w:b w:val="0"/>
                <w:sz w:val="21"/>
                <w:szCs w:val="21"/>
                <w:highlight w:val="yellow"/>
              </w:rPr>
            </w:pPr>
            <w:r>
              <w:rPr>
                <w:rFonts w:hint="eastAsia" w:ascii="微软雅黑" w:hAnsi="微软雅黑" w:eastAsia="微软雅黑"/>
                <w:b w:val="0"/>
                <w:sz w:val="21"/>
                <w:szCs w:val="21"/>
              </w:rPr>
              <w:t>≥8个千兆电口+4个千兆光口，2U标准机架式，冗余电源；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pacing w:line="0" w:lineRule="atLeas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3"/>
              <w:spacing w:before="0" w:after="0" w:line="0" w:lineRule="atLeast"/>
              <w:outlineLvl w:val="1"/>
              <w:rPr>
                <w:rFonts w:ascii="微软雅黑" w:hAnsi="微软雅黑" w:eastAsia="微软雅黑"/>
                <w:b w:val="0"/>
                <w:sz w:val="21"/>
                <w:szCs w:val="21"/>
              </w:rPr>
            </w:pPr>
          </w:p>
        </w:tc>
        <w:tc>
          <w:tcPr>
            <w:tcW w:w="5891" w:type="dxa"/>
            <w:vAlign w:val="center"/>
          </w:tcPr>
          <w:p>
            <w:pPr>
              <w:pStyle w:val="3"/>
              <w:spacing w:before="0" w:after="0" w:line="0" w:lineRule="atLeast"/>
              <w:outlineLvl w:val="1"/>
              <w:rPr>
                <w:rFonts w:ascii="微软雅黑" w:hAnsi="微软雅黑" w:eastAsia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sz w:val="21"/>
                <w:szCs w:val="21"/>
              </w:rPr>
              <w:t>可管理资源站点数量≥2</w:t>
            </w:r>
            <w:r>
              <w:rPr>
                <w:rFonts w:ascii="微软雅黑" w:hAnsi="微软雅黑" w:eastAsia="微软雅黑"/>
                <w:b w:val="0"/>
                <w:sz w:val="21"/>
                <w:szCs w:val="21"/>
              </w:rPr>
              <w:t>00</w:t>
            </w:r>
            <w:r>
              <w:rPr>
                <w:rFonts w:hint="eastAsia" w:ascii="微软雅黑" w:hAnsi="微软雅黑" w:eastAsia="微软雅黑"/>
                <w:b w:val="0"/>
                <w:sz w:val="21"/>
                <w:szCs w:val="21"/>
              </w:rPr>
              <w:t>，无终端访问用户数限制；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pacing w:line="0" w:lineRule="atLeas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3"/>
              <w:spacing w:before="0" w:after="0" w:line="0" w:lineRule="atLeast"/>
              <w:outlineLvl w:val="1"/>
              <w:rPr>
                <w:rFonts w:ascii="微软雅黑" w:hAnsi="微软雅黑" w:eastAsia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sz w:val="21"/>
                <w:szCs w:val="21"/>
              </w:rPr>
              <w:t>系统功能</w:t>
            </w:r>
          </w:p>
        </w:tc>
        <w:tc>
          <w:tcPr>
            <w:tcW w:w="5891" w:type="dxa"/>
            <w:vAlign w:val="center"/>
          </w:tcPr>
          <w:p>
            <w:pPr>
              <w:pStyle w:val="3"/>
              <w:spacing w:before="0" w:after="0" w:line="0" w:lineRule="atLeast"/>
              <w:outlineLvl w:val="1"/>
              <w:rPr>
                <w:rFonts w:ascii="微软雅黑" w:hAnsi="微软雅黑" w:eastAsia="微软雅黑"/>
                <w:b w:val="0"/>
                <w:sz w:val="21"/>
                <w:szCs w:val="21"/>
              </w:rPr>
            </w:pPr>
            <w:r>
              <w:rPr>
                <w:rFonts w:ascii="微软雅黑" w:hAnsi="微软雅黑" w:eastAsia="微软雅黑"/>
                <w:b w:val="0"/>
                <w:sz w:val="21"/>
                <w:szCs w:val="21"/>
              </w:rPr>
              <w:t>设备集成</w:t>
            </w:r>
            <w:r>
              <w:rPr>
                <w:rFonts w:hint="eastAsia" w:ascii="微软雅黑" w:hAnsi="微软雅黑" w:eastAsia="微软雅黑"/>
                <w:b w:val="0"/>
                <w:sz w:val="21"/>
                <w:szCs w:val="21"/>
              </w:rPr>
              <w:t>备案管理、资原发布、远程访问、资源导航等功能，校外可以通过本系统访问校园网内业务系统；无需浏览器插件和客户端程序；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pacing w:line="0" w:lineRule="atLeas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pStyle w:val="3"/>
              <w:spacing w:before="0" w:after="0" w:line="0" w:lineRule="atLeast"/>
              <w:outlineLvl w:val="1"/>
              <w:rPr>
                <w:rFonts w:ascii="微软雅黑" w:hAnsi="微软雅黑" w:eastAsia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sz w:val="21"/>
                <w:szCs w:val="21"/>
              </w:rPr>
              <w:t>功能要求</w:t>
            </w:r>
          </w:p>
        </w:tc>
        <w:tc>
          <w:tcPr>
            <w:tcW w:w="5891" w:type="dxa"/>
            <w:vAlign w:val="center"/>
          </w:tcPr>
          <w:p>
            <w:pPr>
              <w:pStyle w:val="3"/>
              <w:spacing w:before="0" w:after="0" w:line="0" w:lineRule="atLeast"/>
              <w:outlineLvl w:val="1"/>
              <w:rPr>
                <w:rFonts w:ascii="微软雅黑" w:hAnsi="微软雅黑" w:eastAsia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sz w:val="21"/>
                <w:szCs w:val="21"/>
              </w:rPr>
              <w:t>★支持二级单位自助备案，提供备案信息的增加、变更和年审功能。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pacing w:line="0" w:lineRule="atLeas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3"/>
              <w:spacing w:before="0" w:after="0" w:line="0" w:lineRule="atLeast"/>
              <w:outlineLvl w:val="1"/>
              <w:rPr>
                <w:rFonts w:ascii="微软雅黑" w:hAnsi="微软雅黑" w:eastAsia="微软雅黑"/>
                <w:b w:val="0"/>
                <w:sz w:val="21"/>
                <w:szCs w:val="21"/>
              </w:rPr>
            </w:pPr>
          </w:p>
        </w:tc>
        <w:tc>
          <w:tcPr>
            <w:tcW w:w="5891" w:type="dxa"/>
            <w:vAlign w:val="center"/>
          </w:tcPr>
          <w:p>
            <w:pPr>
              <w:pStyle w:val="3"/>
              <w:spacing w:before="0" w:after="0" w:line="0" w:lineRule="atLeast"/>
              <w:outlineLvl w:val="1"/>
              <w:rPr>
                <w:rFonts w:ascii="微软雅黑" w:hAnsi="微软雅黑" w:eastAsia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sz w:val="21"/>
                <w:szCs w:val="21"/>
              </w:rPr>
              <w:t>支持主流的PC端和手机端浏览器，包括但不限于IE、Edge、Firefox、chrome等；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pacing w:line="0" w:lineRule="atLeas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3"/>
              <w:spacing w:before="0" w:after="0" w:line="0" w:lineRule="atLeast"/>
              <w:outlineLvl w:val="1"/>
              <w:rPr>
                <w:rFonts w:ascii="微软雅黑" w:hAnsi="微软雅黑" w:eastAsia="微软雅黑"/>
                <w:b w:val="0"/>
                <w:sz w:val="21"/>
                <w:szCs w:val="21"/>
              </w:rPr>
            </w:pPr>
          </w:p>
        </w:tc>
        <w:tc>
          <w:tcPr>
            <w:tcW w:w="5891" w:type="dxa"/>
            <w:vAlign w:val="center"/>
          </w:tcPr>
          <w:p>
            <w:pPr>
              <w:pStyle w:val="3"/>
              <w:spacing w:before="0" w:after="0" w:line="0" w:lineRule="atLeast"/>
              <w:outlineLvl w:val="1"/>
              <w:rPr>
                <w:rFonts w:ascii="微软雅黑" w:hAnsi="微软雅黑" w:eastAsia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sz w:val="21"/>
                <w:szCs w:val="21"/>
              </w:rPr>
              <w:t>★</w:t>
            </w:r>
            <w:r>
              <w:rPr>
                <w:rFonts w:ascii="微软雅黑" w:hAnsi="微软雅黑" w:eastAsia="微软雅黑"/>
                <w:b w:val="0"/>
                <w:sz w:val="21"/>
                <w:szCs w:val="21"/>
              </w:rPr>
              <w:t>支持对校内网站及信息系统等</w:t>
            </w:r>
            <w:r>
              <w:rPr>
                <w:rFonts w:hint="eastAsia" w:ascii="微软雅黑" w:hAnsi="微软雅黑" w:eastAsia="微软雅黑"/>
                <w:b w:val="0"/>
                <w:sz w:val="21"/>
                <w:szCs w:val="21"/>
              </w:rPr>
              <w:t>WEB资源</w:t>
            </w:r>
            <w:r>
              <w:rPr>
                <w:rFonts w:ascii="微软雅黑" w:hAnsi="微软雅黑" w:eastAsia="微软雅黑"/>
                <w:b w:val="0"/>
                <w:sz w:val="21"/>
                <w:szCs w:val="21"/>
              </w:rPr>
              <w:t>进行集中统一管理</w:t>
            </w:r>
            <w:r>
              <w:rPr>
                <w:rFonts w:hint="eastAsia" w:ascii="微软雅黑" w:hAnsi="微软雅黑" w:eastAsia="微软雅黑"/>
                <w:b w:val="0"/>
                <w:sz w:val="21"/>
                <w:szCs w:val="21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pacing w:line="0" w:lineRule="atLeas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3"/>
              <w:spacing w:before="0" w:after="0" w:line="0" w:lineRule="atLeast"/>
              <w:ind w:firstLine="420"/>
              <w:outlineLvl w:val="1"/>
              <w:rPr>
                <w:rFonts w:ascii="微软雅黑" w:hAnsi="微软雅黑" w:eastAsia="微软雅黑"/>
                <w:b w:val="0"/>
                <w:sz w:val="21"/>
                <w:szCs w:val="21"/>
              </w:rPr>
            </w:pPr>
          </w:p>
        </w:tc>
        <w:tc>
          <w:tcPr>
            <w:tcW w:w="5891" w:type="dxa"/>
            <w:vAlign w:val="center"/>
          </w:tcPr>
          <w:p>
            <w:pPr>
              <w:pStyle w:val="3"/>
              <w:spacing w:before="0" w:after="0" w:line="0" w:lineRule="atLeast"/>
              <w:outlineLvl w:val="1"/>
              <w:rPr>
                <w:rFonts w:ascii="微软雅黑" w:hAnsi="微软雅黑" w:eastAsia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sz w:val="21"/>
                <w:szCs w:val="21"/>
              </w:rPr>
              <w:t>支持对图书资源的集中发布管理，支持图书资源的自定义发布管理；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pacing w:line="0" w:lineRule="atLeas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3"/>
              <w:spacing w:before="0" w:after="0" w:line="0" w:lineRule="atLeast"/>
              <w:ind w:firstLine="420"/>
              <w:outlineLvl w:val="1"/>
              <w:rPr>
                <w:rFonts w:ascii="微软雅黑" w:hAnsi="微软雅黑" w:eastAsia="微软雅黑"/>
                <w:b w:val="0"/>
                <w:sz w:val="21"/>
                <w:szCs w:val="21"/>
              </w:rPr>
            </w:pPr>
          </w:p>
        </w:tc>
        <w:tc>
          <w:tcPr>
            <w:tcW w:w="5891" w:type="dxa"/>
            <w:vAlign w:val="center"/>
          </w:tcPr>
          <w:p>
            <w:pPr>
              <w:pStyle w:val="3"/>
              <w:spacing w:before="0" w:after="0" w:line="0" w:lineRule="atLeast"/>
              <w:outlineLvl w:val="1"/>
              <w:rPr>
                <w:rFonts w:ascii="微软雅黑" w:hAnsi="微软雅黑" w:eastAsia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sz w:val="21"/>
                <w:szCs w:val="21"/>
              </w:rPr>
              <w:t>支持</w:t>
            </w:r>
            <w:r>
              <w:rPr>
                <w:rFonts w:ascii="微软雅黑" w:hAnsi="微软雅黑" w:eastAsia="微软雅黑"/>
                <w:b w:val="0"/>
                <w:sz w:val="21"/>
                <w:szCs w:val="21"/>
              </w:rPr>
              <w:t>SSH</w:t>
            </w:r>
            <w:r>
              <w:rPr>
                <w:rFonts w:hint="eastAsia" w:ascii="微软雅黑" w:hAnsi="微软雅黑" w:eastAsia="微软雅黑"/>
                <w:b w:val="0"/>
                <w:sz w:val="21"/>
                <w:szCs w:val="21"/>
              </w:rPr>
              <w:t>、</w:t>
            </w:r>
            <w:r>
              <w:rPr>
                <w:rFonts w:ascii="微软雅黑" w:hAnsi="微软雅黑" w:eastAsia="微软雅黑"/>
                <w:b w:val="0"/>
                <w:sz w:val="21"/>
                <w:szCs w:val="21"/>
              </w:rPr>
              <w:t>TELNET</w:t>
            </w:r>
            <w:r>
              <w:rPr>
                <w:rFonts w:hint="eastAsia" w:ascii="微软雅黑" w:hAnsi="微软雅黑" w:eastAsia="微软雅黑"/>
                <w:b w:val="0"/>
                <w:sz w:val="21"/>
                <w:szCs w:val="21"/>
              </w:rPr>
              <w:t>、</w:t>
            </w:r>
            <w:r>
              <w:rPr>
                <w:rFonts w:ascii="微软雅黑" w:hAnsi="微软雅黑" w:eastAsia="微软雅黑"/>
                <w:b w:val="0"/>
                <w:sz w:val="21"/>
                <w:szCs w:val="21"/>
              </w:rPr>
              <w:t>SFTP</w:t>
            </w:r>
            <w:r>
              <w:rPr>
                <w:rFonts w:hint="eastAsia" w:ascii="微软雅黑" w:hAnsi="微软雅黑" w:eastAsia="微软雅黑"/>
                <w:b w:val="0"/>
                <w:sz w:val="21"/>
                <w:szCs w:val="21"/>
              </w:rPr>
              <w:t>、</w:t>
            </w:r>
            <w:r>
              <w:rPr>
                <w:rFonts w:ascii="微软雅黑" w:hAnsi="微软雅黑" w:eastAsia="微软雅黑"/>
                <w:b w:val="0"/>
                <w:sz w:val="21"/>
                <w:szCs w:val="21"/>
              </w:rPr>
              <w:t>RDP</w:t>
            </w:r>
            <w:r>
              <w:rPr>
                <w:rFonts w:hint="eastAsia" w:ascii="微软雅黑" w:hAnsi="微软雅黑" w:eastAsia="微软雅黑"/>
                <w:b w:val="0"/>
                <w:sz w:val="21"/>
                <w:szCs w:val="21"/>
              </w:rPr>
              <w:t>、</w:t>
            </w:r>
            <w:r>
              <w:rPr>
                <w:rFonts w:ascii="微软雅黑" w:hAnsi="微软雅黑" w:eastAsia="微软雅黑"/>
                <w:b w:val="0"/>
                <w:sz w:val="21"/>
                <w:szCs w:val="21"/>
              </w:rPr>
              <w:t>VNC等</w:t>
            </w:r>
            <w:r>
              <w:rPr>
                <w:rFonts w:hint="eastAsia" w:ascii="微软雅黑" w:hAnsi="微软雅黑" w:eastAsia="微软雅黑"/>
                <w:b w:val="0"/>
                <w:sz w:val="21"/>
                <w:szCs w:val="21"/>
              </w:rPr>
              <w:t>，支持自定义端口号，支持操作录屏；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pacing w:line="0" w:lineRule="atLeas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3"/>
              <w:spacing w:before="0" w:after="0" w:line="0" w:lineRule="atLeast"/>
              <w:ind w:firstLine="420"/>
              <w:outlineLvl w:val="1"/>
              <w:rPr>
                <w:rFonts w:ascii="微软雅黑" w:hAnsi="微软雅黑" w:eastAsia="微软雅黑"/>
                <w:b w:val="0"/>
                <w:sz w:val="21"/>
                <w:szCs w:val="21"/>
              </w:rPr>
            </w:pPr>
          </w:p>
        </w:tc>
        <w:tc>
          <w:tcPr>
            <w:tcW w:w="5891" w:type="dxa"/>
            <w:vAlign w:val="center"/>
          </w:tcPr>
          <w:p>
            <w:pPr>
              <w:pStyle w:val="3"/>
              <w:spacing w:before="0" w:after="0" w:line="0" w:lineRule="atLeast"/>
              <w:outlineLvl w:val="1"/>
              <w:rPr>
                <w:rFonts w:ascii="微软雅黑" w:hAnsi="微软雅黑" w:eastAsia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sz w:val="21"/>
                <w:szCs w:val="21"/>
              </w:rPr>
              <w:t>★支持SSL加密传输,支持自创建证书，提供证书管理功能。可以批量进行证书的分配及撤销。（提供功能截图）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pacing w:line="0" w:lineRule="atLeas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3"/>
              <w:spacing w:before="0" w:after="0" w:line="0" w:lineRule="atLeast"/>
              <w:ind w:firstLine="420"/>
              <w:outlineLvl w:val="1"/>
              <w:rPr>
                <w:rFonts w:ascii="微软雅黑" w:hAnsi="微软雅黑" w:eastAsia="微软雅黑"/>
                <w:b w:val="0"/>
                <w:sz w:val="21"/>
                <w:szCs w:val="21"/>
              </w:rPr>
            </w:pPr>
          </w:p>
        </w:tc>
        <w:tc>
          <w:tcPr>
            <w:tcW w:w="5891" w:type="dxa"/>
            <w:vAlign w:val="center"/>
          </w:tcPr>
          <w:p>
            <w:pPr>
              <w:pStyle w:val="3"/>
              <w:spacing w:before="0" w:after="0" w:line="0" w:lineRule="atLeast"/>
              <w:outlineLvl w:val="1"/>
              <w:rPr>
                <w:rFonts w:ascii="微软雅黑" w:hAnsi="微软雅黑" w:eastAsia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sz w:val="21"/>
                <w:szCs w:val="21"/>
              </w:rPr>
              <w:t>★支持</w:t>
            </w:r>
            <w:r>
              <w:rPr>
                <w:rFonts w:ascii="微软雅黑" w:hAnsi="微软雅黑" w:eastAsia="微软雅黑"/>
                <w:b w:val="0"/>
                <w:sz w:val="21"/>
                <w:szCs w:val="21"/>
              </w:rPr>
              <w:t>HSTS</w:t>
            </w:r>
            <w:r>
              <w:rPr>
                <w:rFonts w:hint="eastAsia" w:ascii="微软雅黑" w:hAnsi="微软雅黑" w:eastAsia="微软雅黑"/>
                <w:b w:val="0"/>
                <w:sz w:val="21"/>
                <w:szCs w:val="21"/>
              </w:rPr>
              <w:t>、</w:t>
            </w:r>
            <w:r>
              <w:rPr>
                <w:rFonts w:ascii="微软雅黑" w:hAnsi="微软雅黑" w:eastAsia="微软雅黑"/>
                <w:b w:val="0"/>
                <w:sz w:val="21"/>
                <w:szCs w:val="21"/>
              </w:rPr>
              <w:t>HTTPS/HTTP2.0</w:t>
            </w:r>
            <w:r>
              <w:rPr>
                <w:rFonts w:hint="eastAsia" w:ascii="微软雅黑" w:hAnsi="微软雅黑" w:eastAsia="微软雅黑"/>
                <w:b w:val="0"/>
                <w:sz w:val="21"/>
                <w:szCs w:val="21"/>
              </w:rPr>
              <w:t>。（提供功能截图）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pacing w:line="0" w:lineRule="atLeas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3"/>
              <w:spacing w:before="0" w:after="0" w:line="0" w:lineRule="atLeast"/>
              <w:ind w:firstLine="420"/>
              <w:outlineLvl w:val="1"/>
              <w:rPr>
                <w:rFonts w:ascii="微软雅黑" w:hAnsi="微软雅黑" w:eastAsia="微软雅黑"/>
                <w:b w:val="0"/>
                <w:sz w:val="21"/>
                <w:szCs w:val="21"/>
              </w:rPr>
            </w:pPr>
          </w:p>
        </w:tc>
        <w:tc>
          <w:tcPr>
            <w:tcW w:w="5891" w:type="dxa"/>
            <w:vAlign w:val="center"/>
          </w:tcPr>
          <w:p>
            <w:pPr>
              <w:pStyle w:val="3"/>
              <w:spacing w:before="0" w:after="0" w:line="0" w:lineRule="atLeast"/>
              <w:outlineLvl w:val="1"/>
              <w:rPr>
                <w:rFonts w:ascii="微软雅黑" w:hAnsi="微软雅黑" w:eastAsia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sz w:val="21"/>
                <w:szCs w:val="21"/>
              </w:rPr>
              <w:t>支持负载均衡功能，支持站点的负载均衡发布；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pacing w:line="0" w:lineRule="atLeas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3"/>
              <w:spacing w:before="0" w:after="0" w:line="0" w:lineRule="atLeast"/>
              <w:ind w:firstLine="420"/>
              <w:outlineLvl w:val="1"/>
              <w:rPr>
                <w:rFonts w:ascii="微软雅黑" w:hAnsi="微软雅黑" w:eastAsia="微软雅黑"/>
                <w:b w:val="0"/>
                <w:sz w:val="21"/>
                <w:szCs w:val="21"/>
              </w:rPr>
            </w:pPr>
          </w:p>
        </w:tc>
        <w:tc>
          <w:tcPr>
            <w:tcW w:w="5891" w:type="dxa"/>
            <w:vAlign w:val="center"/>
          </w:tcPr>
          <w:p>
            <w:pPr>
              <w:pStyle w:val="3"/>
              <w:spacing w:before="0" w:after="0" w:line="0" w:lineRule="atLeast"/>
              <w:outlineLvl w:val="1"/>
              <w:rPr>
                <w:rFonts w:ascii="微软雅黑" w:hAnsi="微软雅黑" w:eastAsia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sz w:val="21"/>
                <w:szCs w:val="21"/>
              </w:rPr>
              <w:t>支持IPV6，产品通过全球IPv6 测试中心的IPv6Ready Phase-2 金牌级别的认证测试，支持IPV4/IPV6双栈发布功能，能够对网站及业务系统进行IPV4/IPV6双栈发布。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pacing w:line="0" w:lineRule="atLeas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3"/>
              <w:spacing w:before="0" w:after="0" w:line="0" w:lineRule="atLeast"/>
              <w:ind w:firstLine="420"/>
              <w:outlineLvl w:val="1"/>
              <w:rPr>
                <w:rFonts w:ascii="微软雅黑" w:hAnsi="微软雅黑" w:eastAsia="微软雅黑"/>
                <w:b w:val="0"/>
                <w:sz w:val="21"/>
                <w:szCs w:val="21"/>
              </w:rPr>
            </w:pPr>
          </w:p>
        </w:tc>
        <w:tc>
          <w:tcPr>
            <w:tcW w:w="5891" w:type="dxa"/>
            <w:vAlign w:val="center"/>
          </w:tcPr>
          <w:p>
            <w:pPr>
              <w:pStyle w:val="3"/>
              <w:spacing w:before="0" w:after="0" w:line="0" w:lineRule="atLeast"/>
              <w:outlineLvl w:val="1"/>
              <w:rPr>
                <w:rFonts w:ascii="微软雅黑" w:hAnsi="微软雅黑" w:eastAsia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sz w:val="21"/>
                <w:szCs w:val="21"/>
              </w:rPr>
              <w:t>★支持安全威胁管理，站点系统发生安全风险时可根据</w:t>
            </w:r>
            <w:r>
              <w:rPr>
                <w:rFonts w:ascii="微软雅黑" w:hAnsi="微软雅黑" w:eastAsia="微软雅黑"/>
                <w:b w:val="0"/>
                <w:sz w:val="21"/>
                <w:szCs w:val="21"/>
              </w:rPr>
              <w:t>安全隐患名称、隐患类别</w:t>
            </w:r>
            <w:r>
              <w:rPr>
                <w:rFonts w:hint="eastAsia" w:ascii="微软雅黑" w:hAnsi="微软雅黑" w:eastAsia="微软雅黑"/>
                <w:b w:val="0"/>
                <w:sz w:val="21"/>
                <w:szCs w:val="21"/>
              </w:rPr>
              <w:t>通过短信及邮件及时通知相关责任人，问题整改快速上传下达；支持整改信息以年为单位的统计查询（提供页面截图）。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pacing w:line="0" w:lineRule="atLeas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3"/>
              <w:spacing w:before="0" w:after="0" w:line="0" w:lineRule="atLeast"/>
              <w:ind w:firstLine="420"/>
              <w:outlineLvl w:val="1"/>
              <w:rPr>
                <w:rFonts w:ascii="微软雅黑" w:hAnsi="微软雅黑" w:eastAsia="微软雅黑"/>
                <w:b w:val="0"/>
                <w:sz w:val="21"/>
                <w:szCs w:val="21"/>
              </w:rPr>
            </w:pPr>
          </w:p>
        </w:tc>
        <w:tc>
          <w:tcPr>
            <w:tcW w:w="5891" w:type="dxa"/>
            <w:vAlign w:val="center"/>
          </w:tcPr>
          <w:p>
            <w:pPr>
              <w:pStyle w:val="3"/>
              <w:spacing w:before="0" w:after="0" w:line="0" w:lineRule="atLeast"/>
              <w:outlineLvl w:val="1"/>
              <w:rPr>
                <w:rFonts w:ascii="微软雅黑" w:hAnsi="微软雅黑" w:eastAsia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sz w:val="21"/>
                <w:szCs w:val="21"/>
              </w:rPr>
              <w:t>★支持僵尸网站管理，可以自定义检测访问量和网站创建的时间段，支持网站180天是否更新检测，并提供一键下线功能。（提供功能截图）。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pacing w:line="0" w:lineRule="atLeas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3"/>
              <w:spacing w:before="0" w:after="0" w:line="0" w:lineRule="atLeast"/>
              <w:ind w:firstLine="420"/>
              <w:outlineLvl w:val="1"/>
              <w:rPr>
                <w:rFonts w:ascii="微软雅黑" w:hAnsi="微软雅黑" w:eastAsia="微软雅黑"/>
                <w:b w:val="0"/>
                <w:sz w:val="21"/>
                <w:szCs w:val="21"/>
              </w:rPr>
            </w:pPr>
          </w:p>
        </w:tc>
        <w:tc>
          <w:tcPr>
            <w:tcW w:w="5891" w:type="dxa"/>
            <w:vAlign w:val="center"/>
          </w:tcPr>
          <w:p>
            <w:pPr>
              <w:pStyle w:val="3"/>
              <w:spacing w:before="0" w:after="0" w:line="0" w:lineRule="atLeast"/>
              <w:outlineLvl w:val="1"/>
              <w:rPr>
                <w:rFonts w:ascii="微软雅黑" w:hAnsi="微软雅黑" w:eastAsia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sz w:val="21"/>
                <w:szCs w:val="21"/>
              </w:rPr>
              <w:t>★支持一键关停，对站点及信息系统等WEB资源一键关停时短信通知相关部门负责人功能，支持自定义短信模板、支持自定义一键关停安全验证功能，免误操作；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pacing w:line="0" w:lineRule="atLeas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3"/>
              <w:spacing w:before="0" w:after="0" w:line="0" w:lineRule="atLeast"/>
              <w:ind w:firstLine="420"/>
              <w:outlineLvl w:val="1"/>
              <w:rPr>
                <w:rFonts w:ascii="微软雅黑" w:hAnsi="微软雅黑" w:eastAsia="微软雅黑"/>
                <w:b w:val="0"/>
                <w:sz w:val="21"/>
                <w:szCs w:val="21"/>
              </w:rPr>
            </w:pPr>
          </w:p>
        </w:tc>
        <w:tc>
          <w:tcPr>
            <w:tcW w:w="5891" w:type="dxa"/>
            <w:vAlign w:val="center"/>
          </w:tcPr>
          <w:p>
            <w:pPr>
              <w:pStyle w:val="3"/>
              <w:spacing w:before="0" w:after="0" w:line="0" w:lineRule="atLeast"/>
              <w:outlineLvl w:val="1"/>
              <w:rPr>
                <w:rFonts w:ascii="微软雅黑" w:hAnsi="微软雅黑" w:eastAsia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sz w:val="21"/>
                <w:szCs w:val="21"/>
              </w:rPr>
              <w:t>支持安全中心手机自定义绑定，支持动态口令认证等双因素认证；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pacing w:line="0" w:lineRule="atLeas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3"/>
              <w:spacing w:before="0" w:after="0" w:line="0" w:lineRule="atLeast"/>
              <w:ind w:firstLine="420"/>
              <w:outlineLvl w:val="1"/>
              <w:rPr>
                <w:rFonts w:ascii="微软雅黑" w:hAnsi="微软雅黑" w:eastAsia="微软雅黑"/>
                <w:b w:val="0"/>
                <w:sz w:val="21"/>
                <w:szCs w:val="21"/>
              </w:rPr>
            </w:pPr>
          </w:p>
        </w:tc>
        <w:tc>
          <w:tcPr>
            <w:tcW w:w="5891" w:type="dxa"/>
            <w:vAlign w:val="center"/>
          </w:tcPr>
          <w:p>
            <w:pPr>
              <w:pStyle w:val="3"/>
              <w:spacing w:before="0" w:after="0" w:line="0" w:lineRule="atLeast"/>
              <w:outlineLvl w:val="1"/>
              <w:rPr>
                <w:rFonts w:ascii="微软雅黑" w:hAnsi="微软雅黑" w:eastAsia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sz w:val="21"/>
                <w:szCs w:val="21"/>
              </w:rPr>
              <w:t>支持网站、信息系统等WEB资源访问及上下线时间的自定义；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pacing w:line="0" w:lineRule="atLeas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3"/>
              <w:spacing w:before="0" w:after="0" w:line="0" w:lineRule="atLeast"/>
              <w:ind w:firstLine="420"/>
              <w:outlineLvl w:val="1"/>
              <w:rPr>
                <w:rFonts w:ascii="微软雅黑" w:hAnsi="微软雅黑" w:eastAsia="微软雅黑"/>
                <w:b w:val="0"/>
                <w:sz w:val="21"/>
                <w:szCs w:val="21"/>
              </w:rPr>
            </w:pPr>
          </w:p>
        </w:tc>
        <w:tc>
          <w:tcPr>
            <w:tcW w:w="5891" w:type="dxa"/>
            <w:vAlign w:val="center"/>
          </w:tcPr>
          <w:p>
            <w:pPr>
              <w:pStyle w:val="3"/>
              <w:spacing w:before="0" w:after="0" w:line="0" w:lineRule="atLeast"/>
              <w:outlineLvl w:val="1"/>
              <w:rPr>
                <w:rFonts w:ascii="微软雅黑" w:hAnsi="微软雅黑" w:eastAsia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sz w:val="21"/>
                <w:szCs w:val="21"/>
              </w:rPr>
              <w:t>支持WEB资源访问策略的自定义；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pacing w:line="0" w:lineRule="atLeas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3"/>
              <w:spacing w:before="0" w:after="0" w:line="0" w:lineRule="atLeast"/>
              <w:ind w:firstLine="420"/>
              <w:outlineLvl w:val="1"/>
              <w:rPr>
                <w:rFonts w:ascii="微软雅黑" w:hAnsi="微软雅黑" w:eastAsia="微软雅黑"/>
                <w:b w:val="0"/>
                <w:sz w:val="21"/>
                <w:szCs w:val="21"/>
              </w:rPr>
            </w:pPr>
          </w:p>
        </w:tc>
        <w:tc>
          <w:tcPr>
            <w:tcW w:w="5891" w:type="dxa"/>
            <w:vAlign w:val="center"/>
          </w:tcPr>
          <w:p>
            <w:pPr>
              <w:pStyle w:val="3"/>
              <w:spacing w:before="0" w:after="0" w:line="0" w:lineRule="atLeast"/>
              <w:outlineLvl w:val="1"/>
              <w:rPr>
                <w:rFonts w:ascii="微软雅黑" w:hAnsi="微软雅黑" w:eastAsia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sz w:val="21"/>
                <w:szCs w:val="21"/>
              </w:rPr>
              <w:t>支持对网站、信息系统等WEB资源的WAF防护, 支持SQL注入、XSS跨站、cc攻击等攻击防护，支持例外设置；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pacing w:line="0" w:lineRule="atLeas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3"/>
              <w:spacing w:before="0" w:after="0" w:line="0" w:lineRule="atLeast"/>
              <w:ind w:firstLine="420"/>
              <w:outlineLvl w:val="1"/>
              <w:rPr>
                <w:rFonts w:ascii="微软雅黑" w:hAnsi="微软雅黑" w:eastAsia="微软雅黑"/>
                <w:b w:val="0"/>
                <w:sz w:val="21"/>
                <w:szCs w:val="21"/>
              </w:rPr>
            </w:pPr>
          </w:p>
        </w:tc>
        <w:tc>
          <w:tcPr>
            <w:tcW w:w="5891" w:type="dxa"/>
            <w:vAlign w:val="center"/>
          </w:tcPr>
          <w:p>
            <w:pPr>
              <w:pStyle w:val="3"/>
              <w:spacing w:before="0" w:after="0" w:line="0" w:lineRule="atLeast"/>
              <w:outlineLvl w:val="1"/>
              <w:rPr>
                <w:rFonts w:ascii="微软雅黑" w:hAnsi="微软雅黑" w:eastAsia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sz w:val="21"/>
                <w:szCs w:val="21"/>
              </w:rPr>
              <w:t>提供HA高可用，支持双机热备、多机负载均衡模式；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pacing w:line="0" w:lineRule="atLeas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3"/>
              <w:spacing w:before="0" w:after="0" w:line="0" w:lineRule="atLeast"/>
              <w:ind w:firstLine="420"/>
              <w:outlineLvl w:val="1"/>
              <w:rPr>
                <w:rFonts w:ascii="微软雅黑" w:hAnsi="微软雅黑" w:eastAsia="微软雅黑"/>
                <w:b w:val="0"/>
                <w:sz w:val="21"/>
                <w:szCs w:val="21"/>
              </w:rPr>
            </w:pPr>
          </w:p>
        </w:tc>
        <w:tc>
          <w:tcPr>
            <w:tcW w:w="5891" w:type="dxa"/>
            <w:vAlign w:val="center"/>
          </w:tcPr>
          <w:p>
            <w:pPr>
              <w:pStyle w:val="3"/>
              <w:spacing w:before="0" w:after="0" w:line="0" w:lineRule="atLeast"/>
              <w:outlineLvl w:val="1"/>
              <w:rPr>
                <w:rFonts w:ascii="微软雅黑" w:hAnsi="微软雅黑" w:eastAsia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sz w:val="21"/>
                <w:szCs w:val="21"/>
              </w:rPr>
              <w:t>支持资源分组,对不同应用访问权限进行设置，能够根据用户组来确定应用权限，做到应用隔离；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pacing w:line="0" w:lineRule="atLeas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3"/>
              <w:spacing w:before="0" w:after="0" w:line="0" w:lineRule="atLeast"/>
              <w:ind w:firstLine="420"/>
              <w:outlineLvl w:val="1"/>
              <w:rPr>
                <w:rFonts w:ascii="微软雅黑" w:hAnsi="微软雅黑" w:eastAsia="微软雅黑"/>
                <w:b w:val="0"/>
                <w:sz w:val="21"/>
                <w:szCs w:val="21"/>
              </w:rPr>
            </w:pPr>
          </w:p>
        </w:tc>
        <w:tc>
          <w:tcPr>
            <w:tcW w:w="5891" w:type="dxa"/>
            <w:vAlign w:val="center"/>
          </w:tcPr>
          <w:p>
            <w:pPr>
              <w:pStyle w:val="3"/>
              <w:spacing w:before="0" w:after="0" w:line="0" w:lineRule="atLeast"/>
              <w:outlineLvl w:val="1"/>
              <w:rPr>
                <w:rFonts w:ascii="微软雅黑" w:hAnsi="微软雅黑" w:eastAsia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sz w:val="21"/>
                <w:szCs w:val="21"/>
              </w:rPr>
              <w:t>支持本地用户分组，不同用户可以分配不同权限，支持自定义权限管理；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pacing w:line="0" w:lineRule="atLeas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3"/>
              <w:spacing w:before="0" w:after="0" w:line="0" w:lineRule="atLeast"/>
              <w:ind w:firstLine="420"/>
              <w:outlineLvl w:val="1"/>
              <w:rPr>
                <w:rFonts w:ascii="微软雅黑" w:hAnsi="微软雅黑" w:eastAsia="微软雅黑"/>
                <w:b w:val="0"/>
                <w:sz w:val="21"/>
                <w:szCs w:val="21"/>
              </w:rPr>
            </w:pPr>
          </w:p>
        </w:tc>
        <w:tc>
          <w:tcPr>
            <w:tcW w:w="5891" w:type="dxa"/>
            <w:vAlign w:val="center"/>
          </w:tcPr>
          <w:p>
            <w:pPr>
              <w:pStyle w:val="3"/>
              <w:spacing w:before="0" w:after="0" w:line="0" w:lineRule="atLeast"/>
              <w:outlineLvl w:val="1"/>
              <w:rPr>
                <w:rFonts w:ascii="微软雅黑" w:hAnsi="微软雅黑" w:eastAsia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sz w:val="21"/>
                <w:szCs w:val="21"/>
              </w:rPr>
              <w:t>支持统一身份认证CAS 、本地用户名口令、第三方认证组件(LDAP、RADIUS)、手机短信、支持用户名口令+短信双因素认证等多种认证方式，满足不同应用场景的安全认证需求；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pacing w:line="0" w:lineRule="atLeas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3"/>
              <w:spacing w:before="0" w:after="0" w:line="0" w:lineRule="atLeast"/>
              <w:ind w:firstLine="420"/>
              <w:outlineLvl w:val="1"/>
              <w:rPr>
                <w:rFonts w:ascii="微软雅黑" w:hAnsi="微软雅黑" w:eastAsia="微软雅黑"/>
                <w:b w:val="0"/>
                <w:sz w:val="21"/>
                <w:szCs w:val="21"/>
              </w:rPr>
            </w:pPr>
          </w:p>
        </w:tc>
        <w:tc>
          <w:tcPr>
            <w:tcW w:w="5891" w:type="dxa"/>
            <w:vAlign w:val="center"/>
          </w:tcPr>
          <w:p>
            <w:pPr>
              <w:pStyle w:val="3"/>
              <w:spacing w:before="0" w:after="0" w:line="0" w:lineRule="atLeast"/>
              <w:outlineLvl w:val="1"/>
              <w:rPr>
                <w:rFonts w:ascii="微软雅黑" w:hAnsi="微软雅黑" w:eastAsia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sz w:val="21"/>
                <w:szCs w:val="21"/>
              </w:rPr>
              <w:t>支持站点自定义排序，对站点的查询支持按部门分类查询统计；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pacing w:line="0" w:lineRule="atLeas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3"/>
              <w:spacing w:before="0" w:after="0" w:line="0" w:lineRule="atLeast"/>
              <w:ind w:firstLine="420"/>
              <w:outlineLvl w:val="1"/>
              <w:rPr>
                <w:rFonts w:ascii="微软雅黑" w:hAnsi="微软雅黑" w:eastAsia="微软雅黑"/>
                <w:b w:val="0"/>
                <w:sz w:val="21"/>
                <w:szCs w:val="21"/>
              </w:rPr>
            </w:pPr>
          </w:p>
        </w:tc>
        <w:tc>
          <w:tcPr>
            <w:tcW w:w="5891" w:type="dxa"/>
            <w:vAlign w:val="center"/>
          </w:tcPr>
          <w:p>
            <w:pPr>
              <w:pStyle w:val="3"/>
              <w:spacing w:before="0" w:after="0" w:line="0" w:lineRule="atLeast"/>
              <w:outlineLvl w:val="1"/>
              <w:rPr>
                <w:rFonts w:ascii="微软雅黑" w:hAnsi="微软雅黑" w:eastAsia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sz w:val="21"/>
                <w:szCs w:val="21"/>
              </w:rPr>
              <w:t>支持常用网管工具ping、tracert等进行常规故障定位和排查；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pacing w:line="0" w:lineRule="atLeas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3"/>
              <w:spacing w:before="0" w:after="0" w:line="0" w:lineRule="atLeast"/>
              <w:ind w:firstLine="420"/>
              <w:outlineLvl w:val="1"/>
              <w:rPr>
                <w:rFonts w:ascii="微软雅黑" w:hAnsi="微软雅黑" w:eastAsia="微软雅黑"/>
                <w:b w:val="0"/>
                <w:sz w:val="21"/>
                <w:szCs w:val="21"/>
              </w:rPr>
            </w:pPr>
          </w:p>
        </w:tc>
        <w:tc>
          <w:tcPr>
            <w:tcW w:w="5891" w:type="dxa"/>
            <w:vAlign w:val="center"/>
          </w:tcPr>
          <w:p>
            <w:pPr>
              <w:pStyle w:val="3"/>
              <w:spacing w:before="0" w:after="0" w:line="0" w:lineRule="atLeast"/>
              <w:outlineLvl w:val="1"/>
              <w:rPr>
                <w:rFonts w:ascii="微软雅黑" w:hAnsi="微软雅黑" w:eastAsia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sz w:val="21"/>
                <w:szCs w:val="21"/>
              </w:rPr>
              <w:t>★支持微信ＡＰＩ接口，支持用户通过微信对接实现信息系统及站点一键关停操作；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pacing w:line="0" w:lineRule="atLeas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3"/>
              <w:spacing w:before="0" w:after="0" w:line="0" w:lineRule="atLeast"/>
              <w:ind w:firstLine="420"/>
              <w:outlineLvl w:val="1"/>
              <w:rPr>
                <w:rFonts w:ascii="微软雅黑" w:hAnsi="微软雅黑" w:eastAsia="微软雅黑"/>
                <w:b w:val="0"/>
                <w:sz w:val="21"/>
                <w:szCs w:val="21"/>
              </w:rPr>
            </w:pPr>
          </w:p>
        </w:tc>
        <w:tc>
          <w:tcPr>
            <w:tcW w:w="5891" w:type="dxa"/>
            <w:vAlign w:val="center"/>
          </w:tcPr>
          <w:p>
            <w:pPr>
              <w:pStyle w:val="3"/>
              <w:spacing w:before="0" w:after="0" w:line="0" w:lineRule="atLeast"/>
              <w:outlineLvl w:val="1"/>
              <w:rPr>
                <w:rFonts w:ascii="微软雅黑" w:hAnsi="微软雅黑" w:eastAsia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sz w:val="21"/>
                <w:szCs w:val="21"/>
              </w:rPr>
              <w:t>内置短信平台接口，免费提供短信数量不低于</w:t>
            </w:r>
            <w:r>
              <w:rPr>
                <w:rFonts w:ascii="微软雅黑" w:hAnsi="微软雅黑" w:eastAsia="微软雅黑"/>
                <w:b w:val="0"/>
                <w:sz w:val="21"/>
                <w:szCs w:val="21"/>
              </w:rPr>
              <w:t>5000</w:t>
            </w:r>
            <w:r>
              <w:rPr>
                <w:rFonts w:hint="eastAsia" w:ascii="微软雅黑" w:hAnsi="微软雅黑" w:eastAsia="微软雅黑"/>
                <w:b w:val="0"/>
                <w:sz w:val="21"/>
                <w:szCs w:val="21"/>
              </w:rPr>
              <w:t>条；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pacing w:line="0" w:lineRule="atLeas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pStyle w:val="3"/>
              <w:spacing w:before="0" w:after="0" w:line="0" w:lineRule="atLeast"/>
              <w:outlineLvl w:val="1"/>
              <w:rPr>
                <w:rFonts w:ascii="微软雅黑" w:hAnsi="微软雅黑" w:eastAsia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sz w:val="21"/>
                <w:szCs w:val="21"/>
              </w:rPr>
              <w:t>日志要求</w:t>
            </w:r>
          </w:p>
        </w:tc>
        <w:tc>
          <w:tcPr>
            <w:tcW w:w="5891" w:type="dxa"/>
            <w:vAlign w:val="center"/>
          </w:tcPr>
          <w:p>
            <w:pPr>
              <w:pStyle w:val="3"/>
              <w:spacing w:before="0" w:after="0" w:line="0" w:lineRule="atLeast"/>
              <w:outlineLvl w:val="1"/>
              <w:rPr>
                <w:rFonts w:ascii="微软雅黑" w:hAnsi="微软雅黑" w:eastAsia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sz w:val="21"/>
                <w:szCs w:val="21"/>
              </w:rPr>
              <w:t>★支持以中国地图为背景的各省实时访问全景图展示，动态实时显示系统访问状态及排名。包括上行流量、下行流量、站点访问量排行、系统性能监测、实时访问、攻击数据滚动显示等；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pacing w:line="0" w:lineRule="atLeas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3"/>
              <w:spacing w:before="0" w:after="0" w:line="0" w:lineRule="atLeast"/>
              <w:ind w:firstLine="420"/>
              <w:outlineLvl w:val="1"/>
              <w:rPr>
                <w:rFonts w:ascii="微软雅黑" w:hAnsi="微软雅黑" w:eastAsia="微软雅黑"/>
                <w:b w:val="0"/>
                <w:sz w:val="21"/>
                <w:szCs w:val="21"/>
              </w:rPr>
            </w:pPr>
          </w:p>
        </w:tc>
        <w:tc>
          <w:tcPr>
            <w:tcW w:w="5891" w:type="dxa"/>
            <w:vAlign w:val="center"/>
          </w:tcPr>
          <w:p>
            <w:pPr>
              <w:pStyle w:val="3"/>
              <w:spacing w:before="0" w:after="0" w:line="0" w:lineRule="atLeast"/>
              <w:outlineLvl w:val="1"/>
              <w:rPr>
                <w:rFonts w:ascii="微软雅黑" w:hAnsi="微软雅黑" w:eastAsia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sz w:val="21"/>
                <w:szCs w:val="21"/>
              </w:rPr>
              <w:t>提供系统操作日志、支持访问日志的自定义查询，支持访问日志详细查询可精确到具体url 、具体路径及文件名；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pacing w:line="0" w:lineRule="atLeas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3"/>
              <w:spacing w:before="0" w:after="0" w:line="0" w:lineRule="atLeast"/>
              <w:ind w:firstLine="420"/>
              <w:outlineLvl w:val="1"/>
              <w:rPr>
                <w:rFonts w:ascii="微软雅黑" w:hAnsi="微软雅黑" w:eastAsia="微软雅黑"/>
                <w:b w:val="0"/>
                <w:sz w:val="21"/>
                <w:szCs w:val="21"/>
              </w:rPr>
            </w:pPr>
          </w:p>
        </w:tc>
        <w:tc>
          <w:tcPr>
            <w:tcW w:w="5891" w:type="dxa"/>
            <w:vAlign w:val="center"/>
          </w:tcPr>
          <w:p>
            <w:pPr>
              <w:pStyle w:val="3"/>
              <w:spacing w:before="0" w:after="0" w:line="0" w:lineRule="atLeast"/>
              <w:outlineLvl w:val="1"/>
              <w:rPr>
                <w:rFonts w:ascii="微软雅黑" w:hAnsi="微软雅黑" w:eastAsia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sz w:val="21"/>
                <w:szCs w:val="21"/>
              </w:rPr>
              <w:t>支持各网站及业务系统访问质量统计分析；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pacing w:line="0" w:lineRule="atLeas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3"/>
              <w:spacing w:before="0" w:after="0" w:line="0" w:lineRule="atLeast"/>
              <w:ind w:firstLine="420"/>
              <w:outlineLvl w:val="1"/>
              <w:rPr>
                <w:rFonts w:ascii="微软雅黑" w:hAnsi="微软雅黑" w:eastAsia="微软雅黑"/>
                <w:b w:val="0"/>
                <w:sz w:val="21"/>
                <w:szCs w:val="21"/>
              </w:rPr>
            </w:pPr>
          </w:p>
        </w:tc>
        <w:tc>
          <w:tcPr>
            <w:tcW w:w="5891" w:type="dxa"/>
            <w:vAlign w:val="center"/>
          </w:tcPr>
          <w:p>
            <w:pPr>
              <w:pStyle w:val="3"/>
              <w:spacing w:before="0" w:after="0" w:line="0" w:lineRule="atLeast"/>
              <w:outlineLvl w:val="1"/>
              <w:rPr>
                <w:rFonts w:ascii="微软雅黑" w:hAnsi="微软雅黑" w:eastAsia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sz w:val="21"/>
                <w:szCs w:val="21"/>
              </w:rPr>
              <w:t>支持各站点及业务系统的实时监控功能，实时显示网站发布状态；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pacing w:line="0" w:lineRule="atLeas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3"/>
              <w:spacing w:before="0" w:after="0" w:line="0" w:lineRule="atLeast"/>
              <w:ind w:firstLine="420"/>
              <w:outlineLvl w:val="1"/>
              <w:rPr>
                <w:rFonts w:ascii="微软雅黑" w:hAnsi="微软雅黑" w:eastAsia="微软雅黑"/>
                <w:b w:val="0"/>
                <w:sz w:val="21"/>
                <w:szCs w:val="21"/>
              </w:rPr>
            </w:pPr>
          </w:p>
        </w:tc>
        <w:tc>
          <w:tcPr>
            <w:tcW w:w="5891" w:type="dxa"/>
            <w:vAlign w:val="center"/>
          </w:tcPr>
          <w:p>
            <w:pPr>
              <w:pStyle w:val="3"/>
              <w:spacing w:before="0" w:after="0" w:line="0" w:lineRule="atLeast"/>
              <w:outlineLvl w:val="1"/>
              <w:rPr>
                <w:rFonts w:ascii="微软雅黑" w:hAnsi="微软雅黑" w:eastAsia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sz w:val="21"/>
                <w:szCs w:val="21"/>
              </w:rPr>
              <w:t>★提供各站点资源的访问日志</w:t>
            </w:r>
            <w:r>
              <w:rPr>
                <w:rFonts w:ascii="微软雅黑" w:hAnsi="微软雅黑" w:eastAsia="微软雅黑"/>
                <w:b w:val="0"/>
                <w:sz w:val="21"/>
                <w:szCs w:val="21"/>
              </w:rPr>
              <w:t>,</w:t>
            </w:r>
            <w:r>
              <w:rPr>
                <w:rFonts w:hint="eastAsia" w:ascii="微软雅黑" w:hAnsi="微软雅黑" w:eastAsia="微软雅黑"/>
                <w:b w:val="0"/>
                <w:sz w:val="21"/>
                <w:szCs w:val="21"/>
              </w:rPr>
              <w:t>实时显示访问时间,访问源IP,详细URL、访问类型等日志的记录.支持访问URL排名,支持访问IP排名形成详细的网站流量统计分析报表</w:t>
            </w:r>
            <w:r>
              <w:rPr>
                <w:rFonts w:ascii="微软雅黑" w:hAnsi="微软雅黑" w:eastAsia="微软雅黑"/>
                <w:b w:val="0"/>
                <w:sz w:val="21"/>
                <w:szCs w:val="21"/>
              </w:rPr>
              <w:t>,</w:t>
            </w:r>
            <w:r>
              <w:rPr>
                <w:rFonts w:hint="eastAsia" w:ascii="微软雅黑" w:hAnsi="微软雅黑" w:eastAsia="微软雅黑"/>
                <w:b w:val="0"/>
                <w:sz w:val="21"/>
                <w:szCs w:val="21"/>
              </w:rPr>
              <w:t>终端访问者的操作系统和浏览器统计；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pacing w:line="0" w:lineRule="atLeas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3"/>
              <w:spacing w:before="0" w:after="0" w:line="0" w:lineRule="atLeast"/>
              <w:ind w:firstLine="420"/>
              <w:outlineLvl w:val="1"/>
              <w:rPr>
                <w:rFonts w:ascii="微软雅黑" w:hAnsi="微软雅黑" w:eastAsia="微软雅黑"/>
                <w:b w:val="0"/>
                <w:sz w:val="21"/>
                <w:szCs w:val="21"/>
              </w:rPr>
            </w:pPr>
          </w:p>
        </w:tc>
        <w:tc>
          <w:tcPr>
            <w:tcW w:w="5891" w:type="dxa"/>
            <w:vAlign w:val="center"/>
          </w:tcPr>
          <w:p>
            <w:pPr>
              <w:pStyle w:val="3"/>
              <w:spacing w:before="0" w:after="0" w:line="0" w:lineRule="atLeast"/>
              <w:outlineLvl w:val="1"/>
              <w:rPr>
                <w:rFonts w:ascii="微软雅黑" w:hAnsi="微软雅黑" w:eastAsia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sz w:val="21"/>
                <w:szCs w:val="21"/>
              </w:rPr>
              <w:t>支持各站点资源的攻击日志记录，实时显示攻击时间,攻击源IP, URL、类型等日志的记录.支持攻击URL排名,支持攻击IP排名, 支持图表显示；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pacing w:line="0" w:lineRule="atLeas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pStyle w:val="3"/>
              <w:spacing w:before="0" w:after="0" w:line="0" w:lineRule="atLeast"/>
              <w:outlineLvl w:val="1"/>
              <w:rPr>
                <w:rFonts w:ascii="微软雅黑" w:hAnsi="微软雅黑" w:eastAsia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sz w:val="21"/>
                <w:szCs w:val="21"/>
              </w:rPr>
              <w:t>其他要求</w:t>
            </w:r>
          </w:p>
        </w:tc>
        <w:tc>
          <w:tcPr>
            <w:tcW w:w="5891" w:type="dxa"/>
            <w:vAlign w:val="center"/>
          </w:tcPr>
          <w:p>
            <w:pPr>
              <w:pStyle w:val="3"/>
              <w:spacing w:before="0" w:after="0" w:line="0" w:lineRule="atLeast"/>
              <w:outlineLvl w:val="1"/>
              <w:rPr>
                <w:rFonts w:ascii="微软雅黑" w:hAnsi="微软雅黑" w:eastAsia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sz w:val="21"/>
                <w:szCs w:val="21"/>
              </w:rPr>
              <w:t>★提供投标该产品全球IPv6 测试中心颁发的IPv6Ready Phase-2 金牌级别的认证证书复印件，并加盖厂商公章。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pacing w:line="0" w:lineRule="atLeas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3"/>
              <w:spacing w:before="0" w:after="0" w:line="0" w:lineRule="atLeast"/>
              <w:outlineLvl w:val="1"/>
              <w:rPr>
                <w:rFonts w:ascii="微软雅黑" w:hAnsi="微软雅黑" w:eastAsia="微软雅黑"/>
                <w:b w:val="0"/>
                <w:sz w:val="21"/>
                <w:szCs w:val="21"/>
              </w:rPr>
            </w:pPr>
          </w:p>
        </w:tc>
        <w:tc>
          <w:tcPr>
            <w:tcW w:w="5891" w:type="dxa"/>
            <w:vAlign w:val="center"/>
          </w:tcPr>
          <w:p>
            <w:pPr>
              <w:pStyle w:val="3"/>
              <w:spacing w:before="0" w:after="0" w:line="0" w:lineRule="atLeast"/>
              <w:outlineLvl w:val="1"/>
              <w:rPr>
                <w:rFonts w:ascii="微软雅黑" w:hAnsi="微软雅黑" w:eastAsia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sz w:val="21"/>
                <w:szCs w:val="21"/>
              </w:rPr>
              <w:t>★提供近二年内该产品省级以上优秀软件产品证书复印件，并加盖厂商公章。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pacing w:line="0" w:lineRule="atLeas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3"/>
              <w:spacing w:before="0" w:after="0" w:line="0" w:lineRule="atLeast"/>
              <w:outlineLvl w:val="1"/>
              <w:rPr>
                <w:rFonts w:ascii="微软雅黑" w:hAnsi="微软雅黑" w:eastAsia="微软雅黑"/>
                <w:b w:val="0"/>
                <w:sz w:val="21"/>
                <w:szCs w:val="21"/>
              </w:rPr>
            </w:pPr>
          </w:p>
        </w:tc>
        <w:tc>
          <w:tcPr>
            <w:tcW w:w="5891" w:type="dxa"/>
            <w:vAlign w:val="center"/>
          </w:tcPr>
          <w:p>
            <w:pPr>
              <w:pStyle w:val="3"/>
              <w:spacing w:before="0" w:after="0" w:line="0" w:lineRule="atLeast"/>
              <w:outlineLvl w:val="1"/>
              <w:rPr>
                <w:rFonts w:ascii="微软雅黑" w:hAnsi="微软雅黑" w:eastAsia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sz w:val="21"/>
                <w:szCs w:val="21"/>
              </w:rPr>
              <w:t>投标人承诺所有硬件三年免费保修、所有软件三年免费维保升级、电话报修后4小时响应并提出解决方案、24小时内排除故障。</w:t>
            </w:r>
          </w:p>
        </w:tc>
      </w:tr>
    </w:tbl>
    <w:p>
      <w:pPr>
        <w:spacing w:line="220" w:lineRule="atLeast"/>
      </w:pPr>
    </w:p>
    <w:p>
      <w:pPr>
        <w:spacing w:line="220" w:lineRule="atLeast"/>
        <w:rPr>
          <w:rFonts w:hint="eastAsia" w:eastAsiaTheme="minorEastAsia"/>
          <w:sz w:val="44"/>
          <w:szCs w:val="4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496E67"/>
    <w:rsid w:val="0059301C"/>
    <w:rsid w:val="005C7F42"/>
    <w:rsid w:val="00663C8C"/>
    <w:rsid w:val="008B7726"/>
    <w:rsid w:val="009D6614"/>
    <w:rsid w:val="00B87286"/>
    <w:rsid w:val="00D31A20"/>
    <w:rsid w:val="00D31D50"/>
    <w:rsid w:val="00DA5B2D"/>
    <w:rsid w:val="00DC4918"/>
    <w:rsid w:val="00F50D83"/>
    <w:rsid w:val="00F95206"/>
    <w:rsid w:val="05954D33"/>
    <w:rsid w:val="7C43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pPr>
      <w:spacing w:after="0" w:line="240" w:lineRule="auto"/>
    </w:pPr>
    <w:rPr>
      <w:rFonts w:eastAsiaTheme="minorEastAsia"/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标题 1 Char"/>
    <w:basedOn w:val="8"/>
    <w:link w:val="2"/>
    <w:qFormat/>
    <w:uiPriority w:val="9"/>
    <w:rPr>
      <w:rFonts w:eastAsiaTheme="minorEastAsia"/>
      <w:b/>
      <w:bCs/>
      <w:kern w:val="44"/>
      <w:sz w:val="44"/>
      <w:szCs w:val="44"/>
    </w:rPr>
  </w:style>
  <w:style w:type="character" w:customStyle="1" w:styleId="12">
    <w:name w:val="标题 2 Char"/>
    <w:basedOn w:val="8"/>
    <w:link w:val="3"/>
    <w:uiPriority w:val="9"/>
    <w:rPr>
      <w:rFonts w:ascii="Arial" w:hAnsi="Arial" w:eastAsia="黑体" w:cs="Times New Roman"/>
      <w:b/>
      <w:kern w:val="2"/>
      <w:sz w:val="32"/>
      <w:szCs w:val="20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547</Words>
  <Characters>3121</Characters>
  <Lines>26</Lines>
  <Paragraphs>7</Paragraphs>
  <TotalTime>37</TotalTime>
  <ScaleCrop>false</ScaleCrop>
  <LinksUpToDate>false</LinksUpToDate>
  <CharactersWithSpaces>3661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刘宇坤</cp:lastModifiedBy>
  <dcterms:modified xsi:type="dcterms:W3CDTF">2019-05-14T07:39:04Z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