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所需多媒体设备如下：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50"/>
        <w:gridCol w:w="2540"/>
        <w:gridCol w:w="829"/>
        <w:gridCol w:w="1462"/>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序号</w:t>
            </w:r>
          </w:p>
        </w:tc>
        <w:tc>
          <w:tcPr>
            <w:tcW w:w="1450" w:type="dxa"/>
            <w:vAlign w:val="center"/>
          </w:tcPr>
          <w:p>
            <w:pPr>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设备名称</w:t>
            </w:r>
          </w:p>
        </w:tc>
        <w:tc>
          <w:tcPr>
            <w:tcW w:w="2540" w:type="dxa"/>
            <w:vAlign w:val="center"/>
          </w:tcPr>
          <w:p>
            <w:pPr>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技术参数</w:t>
            </w:r>
          </w:p>
        </w:tc>
        <w:tc>
          <w:tcPr>
            <w:tcW w:w="829" w:type="dxa"/>
            <w:vAlign w:val="center"/>
          </w:tcPr>
          <w:p>
            <w:pPr>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数量</w:t>
            </w:r>
          </w:p>
        </w:tc>
        <w:tc>
          <w:tcPr>
            <w:tcW w:w="1462" w:type="dxa"/>
            <w:vAlign w:val="center"/>
          </w:tcPr>
          <w:p>
            <w:pPr>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预估单价（元）</w:t>
            </w:r>
          </w:p>
        </w:tc>
        <w:tc>
          <w:tcPr>
            <w:tcW w:w="1373" w:type="dxa"/>
            <w:vAlign w:val="center"/>
          </w:tcPr>
          <w:p>
            <w:pPr>
              <w:jc w:val="center"/>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jc w:val="center"/>
              <w:rPr>
                <w:rFonts w:ascii="Times New Roman" w:hAnsi="Times New Roman" w:eastAsia="宋体" w:cs="Times New Roman"/>
                <w:kern w:val="0"/>
                <w:sz w:val="30"/>
                <w:szCs w:val="30"/>
              </w:rPr>
            </w:pPr>
          </w:p>
        </w:tc>
        <w:tc>
          <w:tcPr>
            <w:tcW w:w="1450" w:type="dxa"/>
            <w:vAlign w:val="center"/>
          </w:tcPr>
          <w:p>
            <w:pPr>
              <w:jc w:val="center"/>
              <w:rPr>
                <w:rFonts w:ascii="Times New Roman" w:hAnsi="Times New Roman" w:eastAsia="宋体" w:cs="Times New Roman"/>
                <w:kern w:val="0"/>
                <w:sz w:val="30"/>
                <w:szCs w:val="30"/>
              </w:rPr>
            </w:pPr>
          </w:p>
        </w:tc>
        <w:tc>
          <w:tcPr>
            <w:tcW w:w="2540" w:type="dxa"/>
            <w:vAlign w:val="center"/>
          </w:tcPr>
          <w:p>
            <w:pPr>
              <w:jc w:val="center"/>
              <w:rPr>
                <w:rFonts w:ascii="Times New Roman" w:hAnsi="Times New Roman" w:eastAsia="宋体" w:cs="Times New Roman"/>
                <w:kern w:val="0"/>
                <w:sz w:val="30"/>
                <w:szCs w:val="30"/>
              </w:rPr>
            </w:pPr>
          </w:p>
        </w:tc>
        <w:tc>
          <w:tcPr>
            <w:tcW w:w="829" w:type="dxa"/>
            <w:vAlign w:val="center"/>
          </w:tcPr>
          <w:p>
            <w:pPr>
              <w:jc w:val="center"/>
              <w:rPr>
                <w:rFonts w:ascii="Times New Roman" w:hAnsi="Times New Roman" w:eastAsia="宋体" w:cs="Times New Roman"/>
                <w:kern w:val="0"/>
                <w:sz w:val="30"/>
                <w:szCs w:val="30"/>
              </w:rPr>
            </w:pPr>
          </w:p>
        </w:tc>
        <w:tc>
          <w:tcPr>
            <w:tcW w:w="1462" w:type="dxa"/>
            <w:vAlign w:val="center"/>
          </w:tcPr>
          <w:p>
            <w:pPr>
              <w:jc w:val="center"/>
              <w:rPr>
                <w:rFonts w:ascii="Times New Roman" w:hAnsi="Times New Roman" w:eastAsia="宋体" w:cs="Times New Roman"/>
                <w:kern w:val="0"/>
                <w:sz w:val="30"/>
                <w:szCs w:val="30"/>
              </w:rPr>
            </w:pPr>
          </w:p>
        </w:tc>
        <w:tc>
          <w:tcPr>
            <w:tcW w:w="1373" w:type="dxa"/>
            <w:vAlign w:val="center"/>
          </w:tcPr>
          <w:p>
            <w:pPr>
              <w:jc w:val="center"/>
              <w:rPr>
                <w:rFonts w:ascii="Times New Roman" w:hAnsi="Times New Roman" w:eastAsia="宋体"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1</w:t>
            </w:r>
          </w:p>
        </w:tc>
        <w:tc>
          <w:tcPr>
            <w:tcW w:w="145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激光投影机</w:t>
            </w:r>
          </w:p>
        </w:tc>
        <w:tc>
          <w:tcPr>
            <w:tcW w:w="254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 xml:space="preserve">1、显示技术：DLP投影系统 </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 xml:space="preserve">2、芯片尺寸：DMD尺寸≥0.65” </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3、★光源类型：激光光源</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 xml:space="preserve">4、★亮度：≥3600lm（ISO21118标准） </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5、分辨率：≥1280*800</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 xml:space="preserve">6、对比度：≥100000:1 </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7、显示比例：16:10</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8、★投射比：1.61~1.93</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9、光源使用寿命：≥20000小时（正常模式）、≥30000小时（节能模式）</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10、★接口：≥VGA（COMPUTER）INX1;≥HDMI INX1;≥AUDIO INX1；≥RS232X1；≥USB-BX1；≥USB-AX1；≥AUDIO OUTX1;</w:t>
            </w:r>
          </w:p>
        </w:tc>
        <w:tc>
          <w:tcPr>
            <w:tcW w:w="829"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3</w:t>
            </w:r>
          </w:p>
        </w:tc>
        <w:tc>
          <w:tcPr>
            <w:tcW w:w="1462" w:type="dxa"/>
            <w:vAlign w:val="center"/>
          </w:tcPr>
          <w:p>
            <w:pPr>
              <w:widowControl/>
              <w:spacing w:after="220"/>
              <w:jc w:val="center"/>
              <w:textAlignment w:val="center"/>
              <w:rPr>
                <w:rFonts w:ascii="等线" w:hAnsi="等线" w:eastAsia="等线" w:cs="等线"/>
                <w:color w:val="000000"/>
                <w:kern w:val="0"/>
                <w:sz w:val="22"/>
                <w:szCs w:val="20"/>
                <w:lang w:bidi="ar"/>
              </w:rPr>
            </w:pPr>
          </w:p>
        </w:tc>
        <w:tc>
          <w:tcPr>
            <w:tcW w:w="1373" w:type="dxa"/>
            <w:vAlign w:val="center"/>
          </w:tcPr>
          <w:p>
            <w:pPr>
              <w:widowControl/>
              <w:spacing w:after="220"/>
              <w:jc w:val="center"/>
              <w:textAlignment w:val="center"/>
              <w:rPr>
                <w:rFonts w:ascii="等线" w:hAnsi="等线" w:eastAsia="等线" w:cs="等线"/>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2</w:t>
            </w:r>
          </w:p>
        </w:tc>
        <w:tc>
          <w:tcPr>
            <w:tcW w:w="145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幕布</w:t>
            </w:r>
          </w:p>
        </w:tc>
        <w:tc>
          <w:tcPr>
            <w:tcW w:w="254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电动120寸，16：9</w:t>
            </w:r>
          </w:p>
        </w:tc>
        <w:tc>
          <w:tcPr>
            <w:tcW w:w="829"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3</w:t>
            </w:r>
          </w:p>
        </w:tc>
        <w:tc>
          <w:tcPr>
            <w:tcW w:w="1462" w:type="dxa"/>
            <w:vAlign w:val="center"/>
          </w:tcPr>
          <w:p>
            <w:pPr>
              <w:widowControl/>
              <w:spacing w:after="220"/>
              <w:jc w:val="center"/>
              <w:textAlignment w:val="center"/>
              <w:rPr>
                <w:rFonts w:ascii="等线" w:hAnsi="等线" w:eastAsia="等线" w:cs="等线"/>
                <w:color w:val="000000"/>
                <w:kern w:val="0"/>
                <w:sz w:val="22"/>
                <w:szCs w:val="20"/>
                <w:lang w:bidi="ar"/>
              </w:rPr>
            </w:pPr>
          </w:p>
        </w:tc>
        <w:tc>
          <w:tcPr>
            <w:tcW w:w="1373" w:type="dxa"/>
            <w:vAlign w:val="center"/>
          </w:tcPr>
          <w:p>
            <w:pPr>
              <w:widowControl/>
              <w:spacing w:after="220"/>
              <w:jc w:val="center"/>
              <w:textAlignment w:val="center"/>
              <w:rPr>
                <w:rFonts w:ascii="等线" w:hAnsi="等线" w:eastAsia="等线" w:cs="等线"/>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3</w:t>
            </w:r>
          </w:p>
        </w:tc>
        <w:tc>
          <w:tcPr>
            <w:tcW w:w="145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音频系统</w:t>
            </w:r>
          </w:p>
        </w:tc>
        <w:tc>
          <w:tcPr>
            <w:tcW w:w="254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整套系统包括一体机功放音响接收器等5个桌面话筒/5个无线话筒.2.4G无线数字接收器、可与调音台、电视机联接，数字对频无线接收通道大于1000个、接收机与发射机自动选频对接≤3秒、自动搜索发射机信号进行锁定、不串频、抗干扰性强、能有效的抑制声反馈。</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一路话筒输出、二路音频输出、一路DC5V电源输出、USB充电功能。</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适用于现有多媒体教室、电教室、流媒体教室、会议室的升级改造。</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★根据用户要求可选配1090、1090A发射机。</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★频率响应：45Hz-20KHz</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★使用频率：2402-2480MHz</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★灵敏度：89dB±2 dB</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★失真度：≤1%</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★信道间隔:5MHz</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★电源：交流220V±10％/50Hz</w:t>
            </w:r>
          </w:p>
        </w:tc>
        <w:tc>
          <w:tcPr>
            <w:tcW w:w="829"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3</w:t>
            </w:r>
          </w:p>
        </w:tc>
        <w:tc>
          <w:tcPr>
            <w:tcW w:w="1462" w:type="dxa"/>
            <w:vAlign w:val="center"/>
          </w:tcPr>
          <w:p>
            <w:pPr>
              <w:widowControl/>
              <w:spacing w:after="220"/>
              <w:jc w:val="center"/>
              <w:textAlignment w:val="center"/>
              <w:rPr>
                <w:rFonts w:ascii="等线" w:hAnsi="等线" w:eastAsia="等线" w:cs="等线"/>
                <w:color w:val="000000"/>
                <w:kern w:val="0"/>
                <w:sz w:val="22"/>
                <w:szCs w:val="20"/>
                <w:lang w:bidi="ar"/>
              </w:rPr>
            </w:pPr>
          </w:p>
        </w:tc>
        <w:tc>
          <w:tcPr>
            <w:tcW w:w="1373" w:type="dxa"/>
            <w:vAlign w:val="center"/>
          </w:tcPr>
          <w:p>
            <w:pPr>
              <w:widowControl/>
              <w:spacing w:after="220"/>
              <w:jc w:val="center"/>
              <w:textAlignment w:val="center"/>
              <w:rPr>
                <w:rFonts w:ascii="等线" w:hAnsi="等线" w:eastAsia="等线" w:cs="等线"/>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4</w:t>
            </w:r>
          </w:p>
        </w:tc>
        <w:tc>
          <w:tcPr>
            <w:tcW w:w="1450"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讲桌</w:t>
            </w:r>
          </w:p>
        </w:tc>
        <w:tc>
          <w:tcPr>
            <w:tcW w:w="254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钢木结合，桌体采用1.2-2.0MM全钢结构，左右提供豪华扶手；长宽(CM)60*6；全封闭式豪华设计，学校LOGO；讲桌长宽高(CM)：关闭：100*71*105.5打开：145*87*105.5；显示器屏幕采用钢化玻璃保护，适用18-22寸液晶显示屏,控制柜应提供放置计算机、功放、DVD播放机、中央控制器等设备的内部空间；桌体内侧有标准键盘抽屉，右侧具有抽拉式抽屉，可放置实物展示台，承重20公斤；</w:t>
            </w:r>
          </w:p>
        </w:tc>
        <w:tc>
          <w:tcPr>
            <w:tcW w:w="829"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3</w:t>
            </w:r>
          </w:p>
        </w:tc>
        <w:tc>
          <w:tcPr>
            <w:tcW w:w="1462" w:type="dxa"/>
            <w:vAlign w:val="center"/>
          </w:tcPr>
          <w:p>
            <w:pPr>
              <w:widowControl/>
              <w:spacing w:after="220"/>
              <w:jc w:val="center"/>
              <w:textAlignment w:val="center"/>
              <w:rPr>
                <w:rFonts w:ascii="等线" w:hAnsi="等线" w:eastAsia="等线" w:cs="等线"/>
                <w:color w:val="000000"/>
                <w:kern w:val="0"/>
                <w:sz w:val="22"/>
                <w:szCs w:val="20"/>
                <w:lang w:bidi="ar"/>
              </w:rPr>
            </w:pPr>
          </w:p>
        </w:tc>
        <w:tc>
          <w:tcPr>
            <w:tcW w:w="1373" w:type="dxa"/>
            <w:vAlign w:val="center"/>
          </w:tcPr>
          <w:p>
            <w:pPr>
              <w:widowControl/>
              <w:spacing w:after="220"/>
              <w:jc w:val="center"/>
              <w:textAlignment w:val="center"/>
              <w:rPr>
                <w:rFonts w:ascii="等线" w:hAnsi="等线" w:eastAsia="等线" w:cs="等线"/>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5</w:t>
            </w:r>
          </w:p>
        </w:tc>
        <w:tc>
          <w:tcPr>
            <w:tcW w:w="1450"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电脑</w:t>
            </w:r>
          </w:p>
        </w:tc>
        <w:tc>
          <w:tcPr>
            <w:tcW w:w="254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I5-9500.2*4G.1T.180W.网络同传.W10H/19.5"液晶显示器,VGA,HDMI 1.4(支持HDCP)接口/支持网络传输硬盘对刻、多系统引导、支持硬盘及CMOS保护、自动安装底层驱动/支持BIOS网络唤醒机制/前置USB及音频接口/防水抗菌键盘、光电鼠标/ATX结构机箱/110V-220V 310W电源/主机及硬盘保护卡驱动支持仿真教学软</w:t>
            </w:r>
            <w:r>
              <w:rPr>
                <w:rFonts w:hint="eastAsia" w:ascii="等线" w:hAnsi="等线" w:eastAsia="等线" w:cs="等线"/>
                <w:color w:val="000000"/>
                <w:kern w:val="0"/>
                <w:sz w:val="22"/>
                <w:szCs w:val="22"/>
                <w:lang w:bidi="ar"/>
              </w:rPr>
              <w:t>件</w:t>
            </w:r>
            <w:r>
              <w:rPr>
                <w:rFonts w:ascii="等线" w:hAnsi="等线" w:eastAsia="等线" w:cs="等线"/>
                <w:color w:val="000000"/>
                <w:kern w:val="0"/>
                <w:sz w:val="22"/>
                <w:szCs w:val="22"/>
                <w:lang w:bidi="ar"/>
              </w:rPr>
              <w:t>整体要求：</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1、该系统实现教师备授课一体化的目的，在备课过程当中可随时一键切换到授课模式，并自动唤醒和控制学生端，帮助教师高效备课、授课。</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2、★软件需要提供由省级以上软件测试中心出具的软件测 试报告和由国家版权局出具的软件著作权证书。（加盖制造商公章）</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3、★提供制造商通过CMMI3或以上认证证书复印件（加盖制造商公章）</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4、★提供制造商通过ISO27001信息安全管理体系认证及ISO20000IT服务管理体系认证复印件（加盖制造商公章）</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备课模式：</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(1)★提供云端教育资源库，教师可在云端资源库找到大量丰富的公共课件及教学素材；</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(2)教师可对授课教材版本、年级、学科、课程章节进行选择和切换，同时支持设置为默认选项，方便教师快速进入要上的课程；</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(3)★云端教育资源与教材目录相匹配，目录可匹配至年级、学科、教材版本、课程、章节，教师备课时直接进入目录，无需搜索，云端教育资源库自动提供与当前课程相匹配的所有课件、视频、图片、动画、音频和习题等教学素材；</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(4)一键调用云端教育资源库中课件的所有页面，也可以选择直接插入课件中的指定页面；</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(5)支持快速插入本地图片、视频和动画等教学素材；</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(6)★需兼容PPT格式的课件资源，教师可直接调用本地的PPT课件进入备课系统进行编辑；</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(7)各类资源支持关键字模糊搜索功能；</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(8)支持在编辑课件过程中预览、拖拽、插入所需的教学资源和素材；</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(9)★支持教师创建新题目，可编辑多种题型，提供的题目类型不少于30种，如常见客观题：单项选择题、多项选择题、填空题、连线题等类型；常见主观题：手写题、组词题等；也可以编辑有较强互动性的题型，如：连连看、选词填空题、猜词游戏题、分类题、记忆卡片、分式加减题；</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(10)提供网盘功能，教师可将课件、视频、图片、Flash、音频等教学资源上传网盘；</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(11)支持使用常用的第三方账号注册登录包括QQ、微信、微博、邮箱等；</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授课模式：</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(1)★教师编辑完课件后，可一键从备课模式切换到授课模式；</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(2)需为教师提供不少于6种授课工具，包括学科工具、互动工具、画笔、橡皮擦、清除墨迹、返回桌面等功能；</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植树工具可任意缩放数轴长度和单位刻度长度，可以任意设置标示点位置，显示标示点之间的增减线及增减距离；</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种，包括三角板、量角器、直尺等常用的工具；</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(5)★使用互动工具时，至少提供8种授课交互功能，需包括放大镜、黑板、聚光灯、计时器、百科、鼓掌、接龙活动、随机组队等；</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(6)教师可以控制学生VR眼镜进行VR资源的播放、停止等操作；</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(7)画笔工具需提供不少于9种颜色的画笔，包括红色、蓝色、黑色等常用颜色，方便老师授课时做标记；</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(8)★授课模式支持教师跨平台、多手机终端应用，提供二维码扫描的方式快速下载移动控制软件，实现教师课堂移动教学。移动控制软件需支持Android和iOS设备；</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(9)使用手机移动设备进行移动授课时，需提供包括页面跳转、鼓励、画笔、激光笔、图片快传、放大镜、黑板、聚光灯，视频快传等9种及以上的远程控制功能。</w:t>
            </w:r>
          </w:p>
        </w:tc>
        <w:tc>
          <w:tcPr>
            <w:tcW w:w="829"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3</w:t>
            </w:r>
          </w:p>
        </w:tc>
        <w:tc>
          <w:tcPr>
            <w:tcW w:w="1462" w:type="dxa"/>
            <w:vAlign w:val="center"/>
          </w:tcPr>
          <w:p>
            <w:pPr>
              <w:widowControl/>
              <w:spacing w:after="220"/>
              <w:jc w:val="center"/>
              <w:textAlignment w:val="center"/>
              <w:rPr>
                <w:rFonts w:ascii="等线" w:hAnsi="等线" w:eastAsia="等线" w:cs="等线"/>
                <w:color w:val="000000"/>
                <w:kern w:val="0"/>
                <w:sz w:val="22"/>
                <w:szCs w:val="20"/>
                <w:lang w:bidi="ar"/>
              </w:rPr>
            </w:pPr>
          </w:p>
        </w:tc>
        <w:tc>
          <w:tcPr>
            <w:tcW w:w="1373" w:type="dxa"/>
            <w:vAlign w:val="center"/>
          </w:tcPr>
          <w:p>
            <w:pPr>
              <w:widowControl/>
              <w:spacing w:after="220"/>
              <w:jc w:val="center"/>
              <w:textAlignment w:val="center"/>
              <w:rPr>
                <w:rFonts w:ascii="等线" w:hAnsi="等线" w:eastAsia="等线" w:cs="等线"/>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6</w:t>
            </w:r>
          </w:p>
        </w:tc>
        <w:tc>
          <w:tcPr>
            <w:tcW w:w="1450" w:type="dxa"/>
            <w:vAlign w:val="center"/>
          </w:tcPr>
          <w:p>
            <w:pPr>
              <w:widowControl/>
              <w:jc w:val="center"/>
              <w:textAlignment w:val="center"/>
              <w:rPr>
                <w:rFonts w:ascii="等线" w:hAnsi="等线" w:eastAsia="等线" w:cs="等线"/>
                <w:color w:val="000000"/>
                <w:kern w:val="0"/>
                <w:sz w:val="22"/>
                <w:szCs w:val="20"/>
              </w:rPr>
            </w:pPr>
            <w:r>
              <w:rPr>
                <w:rFonts w:ascii="等线" w:hAnsi="等线" w:eastAsia="等线" w:cs="等线"/>
                <w:color w:val="000000"/>
                <w:kern w:val="0"/>
                <w:sz w:val="22"/>
                <w:szCs w:val="22"/>
                <w:lang w:bidi="ar"/>
              </w:rPr>
              <w:t>智慧中控一体机</w:t>
            </w:r>
          </w:p>
        </w:tc>
        <w:tc>
          <w:tcPr>
            <w:tcW w:w="2540" w:type="dxa"/>
            <w:vAlign w:val="center"/>
          </w:tcPr>
          <w:p>
            <w:pPr>
              <w:widowControl/>
              <w:jc w:val="center"/>
              <w:textAlignment w:val="center"/>
              <w:rPr>
                <w:rFonts w:ascii="等线" w:hAnsi="等线" w:eastAsia="等线" w:cs="等线"/>
                <w:color w:val="000000"/>
                <w:kern w:val="0"/>
                <w:sz w:val="22"/>
                <w:szCs w:val="20"/>
              </w:rPr>
            </w:pPr>
            <w:r>
              <w:rPr>
                <w:rFonts w:ascii="等线" w:hAnsi="等线" w:eastAsia="等线" w:cs="等线"/>
                <w:color w:val="000000"/>
                <w:kern w:val="0"/>
                <w:sz w:val="22"/>
                <w:szCs w:val="22"/>
                <w:lang w:bidi="ar"/>
              </w:rPr>
              <w:t>薄膜式10按键，3*2VGA,3*1音频，2*1视频；内置1路麦克风输入，1路红外，2路RS-232； 2路电源；3路IO接口；</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独立的控制模块，实现控制、管理；</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★控制软件有计算机软件著作权，全面支持WIN7/VISTA操作系统；</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可以导入导出设备红外码，方便保存和批量安装；</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 xml:space="preserve">内置多种投影机R S - 2 3 2控制代码； </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通过ISO9001-9008质量管理体系认证；</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★升级方便，模块化管理；可扩展为：网络控制、一卡通、设备电源管理、课程表管理、远程协助、防盗监控报警；1. 用户使用权限分类管理：可定义超级用户、监控用户、管理员可分配不同的教室和功能给每个管理老师；</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2. 分层管理：可自定义分区、分年级、分楼层管理，也可加入电子地图，使管理人员一目了然；</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3. 网络I P地址管理： 自动搜索中控IP地址、再查找相应物理地址与多媒体教室电脑IP对应， 网络断开后再恢复时系统能自动连接；</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4. IC卡管理：设定每教室由哪些IC卡能打开，可添加删除和编辑IC卡用户；插卡网络系统即自动按顺序打开系统设备，拨卡即自动关闭系统设备；系统软件还可以记录用户和设备的使用时间；</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★5. 编码表的管理：系统通信代码自定义，以中文描述功能选项，根据用户要求添加和删除受控设备；（现场演示）</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6. 课程表自动化：指定每时间段每个多媒体室每个设备的开启时间、关闭时间，采用自动化的设置模式，并且可以按每学期、星期和日期排程，课表具有导入导出功能，可导入EXCEL课表，也可以用树型的方式编辑每个教室的自动化管理功能</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★7. 系统远程管理与维护：系统自动按时间记录每个多媒体室设备的使用情况和维护情况，比如投影机的使用时间，多媒体教室设备的使用时间等，还能自动记录每个IC卡的上课时间，对教室设备的红外、通讯编码导入导出，方便批量安装和系统维护；（现场演示）</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8. 跨网段控制管理功能：系统软件能跨网段控制多媒体室的设备，也可以通过互联网控制设备；管理人员通过校园网可以在控制室以外的地方对教室的设备进行监控，管理系统软件提供身份认证和三级权限管理，只要有权限并联上网，可以实现随时随地的监控；</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9. 全可编程电脑界面：兼容WIN2K/XP／ME/NT/Vista/WIN7/WIN8操作系统：可添加、删除和定义、编辑每个按键的动作功能、图标和文字、界面风格等；</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10. 多媒体室设备状态监控：可实时监控到多媒体室里每个设备的情况并进行控制，如投影机开关、投影灯泡使用时间、电脑开关、中控电源状态等，用图表的方式一目了然，一个画面同时监视到30个以上的教室设备情况，可分页监控；</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11. 批处理控制：可圈选一个或多个或全部多媒体室同时进行控制，界面可选择图控和列表方式，避免了操作的繁琐性；</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12. 设备使用权限设置：可以禁止其他人使用多媒体室的一个或多个设备，如可以指定某时间段不允许打开投影机；</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13. 门禁、防盗报警：(电源线或网线被断开；投影机信号线被中断；讲桌门被撬开)系统可以对多媒体设备进行布防，可以有多种布防方式：开关、电平、红外感应等进行实时声光报警；</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14. 主控室可接管教室电脑，实时监控教室端电脑画面，接管鼠标，帮助主讲人完成电脑设定和软件的远程安装；</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15. 多媒体的布防异常信息即时反馈到管理室和保卫室，并触发教室外报警，也可通过MAIL或短信方式报警；</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16. 电子举手请求帮助：主讲遇到设备使用问题，可向管理员发送帮助请求，及时解决问题；</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★17. 可4/9/16多窗口模式监视教室视频或者教室电脑画面，可翻页延时演示；（现场演示）</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★18. 可排程或即时发送滚动信息到每个教室终端，通过显示设备输出文字信息，输出方式可设置，也可连接led字幕机实现无声广播；</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19. 听课或观摩时,可以把教室电脑画面+老师视频+教室声音同步输出大屏和音响设备；</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★可与学校现有中控做对接，统一管理平台管控。</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★6、提供原厂彩页及技术证明文件、授权、售后服务承诺书原件并加盖厂商公章。（提供样品逐条演示）</w:t>
            </w:r>
          </w:p>
        </w:tc>
        <w:tc>
          <w:tcPr>
            <w:tcW w:w="829"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3</w:t>
            </w:r>
          </w:p>
        </w:tc>
        <w:tc>
          <w:tcPr>
            <w:tcW w:w="1462" w:type="dxa"/>
            <w:vAlign w:val="center"/>
          </w:tcPr>
          <w:p>
            <w:pPr>
              <w:widowControl/>
              <w:spacing w:after="220"/>
              <w:jc w:val="center"/>
              <w:textAlignment w:val="center"/>
              <w:rPr>
                <w:rFonts w:ascii="等线" w:hAnsi="等线" w:eastAsia="等线" w:cs="等线"/>
                <w:color w:val="000000"/>
                <w:kern w:val="0"/>
                <w:sz w:val="22"/>
                <w:szCs w:val="20"/>
                <w:lang w:bidi="ar"/>
              </w:rPr>
            </w:pPr>
          </w:p>
        </w:tc>
        <w:tc>
          <w:tcPr>
            <w:tcW w:w="1373" w:type="dxa"/>
            <w:vAlign w:val="center"/>
          </w:tcPr>
          <w:p>
            <w:pPr>
              <w:widowControl/>
              <w:spacing w:after="220"/>
              <w:jc w:val="center"/>
              <w:textAlignment w:val="center"/>
              <w:rPr>
                <w:rFonts w:ascii="等线" w:hAnsi="等线" w:eastAsia="等线" w:cs="等线"/>
                <w:color w:val="000000"/>
                <w:kern w:val="0"/>
                <w:sz w:val="22"/>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7</w:t>
            </w:r>
          </w:p>
        </w:tc>
        <w:tc>
          <w:tcPr>
            <w:tcW w:w="1450"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整体系统集成</w:t>
            </w:r>
          </w:p>
        </w:tc>
        <w:tc>
          <w:tcPr>
            <w:tcW w:w="2540" w:type="dxa"/>
            <w:vAlign w:val="center"/>
          </w:tcPr>
          <w:p>
            <w:pPr>
              <w:widowControl/>
              <w:spacing w:after="220"/>
              <w:jc w:val="center"/>
              <w:textAlignment w:val="center"/>
              <w:rPr>
                <w:rFonts w:ascii="等线" w:hAnsi="等线" w:eastAsia="等线" w:cs="等线"/>
                <w:color w:val="000000"/>
                <w:kern w:val="0"/>
                <w:sz w:val="22"/>
                <w:szCs w:val="20"/>
                <w:lang w:bidi="ar"/>
              </w:rPr>
            </w:pPr>
            <w:r>
              <w:rPr>
                <w:rFonts w:ascii="等线" w:hAnsi="等线" w:eastAsia="等线" w:cs="等线"/>
                <w:color w:val="000000"/>
                <w:kern w:val="0"/>
                <w:sz w:val="22"/>
                <w:szCs w:val="22"/>
                <w:lang w:bidi="ar"/>
              </w:rPr>
              <w:t>包括：所有施工、线材、安装、调试、辅材、辅料,13%专票等交钥匙工程</w:t>
            </w:r>
          </w:p>
        </w:tc>
        <w:tc>
          <w:tcPr>
            <w:tcW w:w="829" w:type="dxa"/>
            <w:vAlign w:val="center"/>
          </w:tcPr>
          <w:p>
            <w:pPr>
              <w:widowControl/>
              <w:spacing w:after="220"/>
              <w:jc w:val="center"/>
              <w:textAlignment w:val="center"/>
              <w:rPr>
                <w:rFonts w:ascii="等线" w:hAnsi="等线" w:eastAsia="等线" w:cs="等线"/>
                <w:color w:val="000000"/>
                <w:kern w:val="0"/>
                <w:sz w:val="22"/>
                <w:szCs w:val="20"/>
                <w:lang w:bidi="ar"/>
              </w:rPr>
            </w:pPr>
            <w:r>
              <w:rPr>
                <w:rFonts w:hint="eastAsia" w:ascii="等线" w:hAnsi="等线" w:eastAsia="等线" w:cs="等线"/>
                <w:color w:val="000000"/>
                <w:kern w:val="0"/>
                <w:sz w:val="22"/>
                <w:szCs w:val="22"/>
                <w:lang w:bidi="ar"/>
              </w:rPr>
              <w:t>3</w:t>
            </w:r>
          </w:p>
        </w:tc>
        <w:tc>
          <w:tcPr>
            <w:tcW w:w="1462" w:type="dxa"/>
            <w:vAlign w:val="center"/>
          </w:tcPr>
          <w:p>
            <w:pPr>
              <w:widowControl/>
              <w:spacing w:after="220"/>
              <w:jc w:val="center"/>
              <w:textAlignment w:val="center"/>
              <w:rPr>
                <w:rFonts w:ascii="等线" w:hAnsi="等线" w:eastAsia="等线" w:cs="等线"/>
                <w:color w:val="000000"/>
                <w:kern w:val="0"/>
                <w:sz w:val="22"/>
                <w:szCs w:val="20"/>
                <w:lang w:bidi="ar"/>
              </w:rPr>
            </w:pPr>
          </w:p>
        </w:tc>
        <w:tc>
          <w:tcPr>
            <w:tcW w:w="1373" w:type="dxa"/>
            <w:vAlign w:val="center"/>
          </w:tcPr>
          <w:p>
            <w:pPr>
              <w:widowControl/>
              <w:spacing w:after="220"/>
              <w:jc w:val="center"/>
              <w:textAlignment w:val="center"/>
              <w:rPr>
                <w:rFonts w:ascii="等线" w:hAnsi="等线" w:eastAsia="等线" w:cs="等线"/>
                <w:color w:val="000000"/>
                <w:kern w:val="0"/>
                <w:sz w:val="22"/>
                <w:szCs w:val="20"/>
                <w:lang w:bidi="ar"/>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96"/>
    <w:rsid w:val="00594A96"/>
    <w:rsid w:val="00D26A65"/>
    <w:rsid w:val="00E169E0"/>
    <w:rsid w:val="00E30718"/>
    <w:rsid w:val="1458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Words>
  <Characters>3751</Characters>
  <Lines>31</Lines>
  <Paragraphs>8</Paragraphs>
  <TotalTime>1</TotalTime>
  <ScaleCrop>false</ScaleCrop>
  <LinksUpToDate>false</LinksUpToDate>
  <CharactersWithSpaces>4401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2020-10-12T08:57:00Z</dcterms:created>
  <dc:creator>程巍</dc:creator>
  <cp:lastModifiedBy>小熊</cp:lastModifiedBy>
  <dcterms:modified xsi:type="dcterms:W3CDTF">2020-10-23T05:27:16Z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