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36"/>
          <w:szCs w:val="36"/>
        </w:rPr>
      </w:pPr>
      <w:r>
        <w:rPr>
          <w:rFonts w:hint="eastAsia" w:ascii="方正小标宋简体" w:eastAsia="方正小标宋简体"/>
          <w:b/>
          <w:bCs/>
          <w:sz w:val="36"/>
          <w:szCs w:val="36"/>
        </w:rPr>
        <w:t>新乡医学院三全学院智行书院</w:t>
      </w:r>
    </w:p>
    <w:p>
      <w:pPr>
        <w:jc w:val="center"/>
        <w:rPr>
          <w:rFonts w:ascii="方正小标宋简体" w:eastAsia="方正小标宋简体"/>
          <w:b/>
          <w:bCs/>
          <w:sz w:val="36"/>
          <w:szCs w:val="36"/>
        </w:rPr>
      </w:pPr>
      <w:r>
        <w:rPr>
          <w:rFonts w:hint="eastAsia" w:ascii="方正小标宋简体" w:eastAsia="方正小标宋简体"/>
          <w:b/>
          <w:bCs/>
          <w:sz w:val="36"/>
          <w:szCs w:val="36"/>
        </w:rPr>
        <w:t>自助洗衣机投放及配套服务项目招标要求</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一、项目概况</w:t>
      </w:r>
    </w:p>
    <w:p>
      <w:pPr>
        <w:ind w:firstLine="560" w:firstLineChars="200"/>
        <w:jc w:val="left"/>
        <w:rPr>
          <w:rFonts w:asciiTheme="minorEastAsia" w:hAnsiTheme="minorEastAsia"/>
          <w:sz w:val="28"/>
          <w:szCs w:val="28"/>
        </w:rPr>
      </w:pPr>
      <w:r>
        <w:rPr>
          <w:rFonts w:hint="eastAsia" w:asciiTheme="minorEastAsia" w:hAnsiTheme="minorEastAsia"/>
          <w:sz w:val="28"/>
          <w:szCs w:val="28"/>
        </w:rPr>
        <w:t>（一）书院基本情况</w:t>
      </w:r>
    </w:p>
    <w:p>
      <w:pPr>
        <w:ind w:firstLine="560" w:firstLineChars="200"/>
        <w:jc w:val="left"/>
        <w:rPr>
          <w:rFonts w:asciiTheme="minorEastAsia" w:hAnsiTheme="minorEastAsia"/>
          <w:sz w:val="28"/>
          <w:szCs w:val="28"/>
        </w:rPr>
      </w:pPr>
      <w:r>
        <w:rPr>
          <w:rFonts w:hint="eastAsia" w:asciiTheme="minorEastAsia" w:hAnsiTheme="minorEastAsia"/>
          <w:sz w:val="28"/>
          <w:szCs w:val="28"/>
        </w:rPr>
        <w:t>新乡医学院三全学院平原校区目前在校生约1.5万余人，本项目主要服务智行书院学生公寓楼1号楼、2号楼、3号楼，学生人数约</w:t>
      </w:r>
      <w:r>
        <w:rPr>
          <w:rFonts w:hint="eastAsia" w:asciiTheme="minorEastAsia" w:hAnsiTheme="minorEastAsia"/>
          <w:sz w:val="28"/>
          <w:szCs w:val="28"/>
          <w:lang w:val="en-US" w:eastAsia="zh-CN"/>
        </w:rPr>
        <w:t>2000</w:t>
      </w:r>
      <w:r>
        <w:rPr>
          <w:rFonts w:hint="eastAsia" w:asciiTheme="minorEastAsia" w:hAnsiTheme="minorEastAsia"/>
          <w:sz w:val="28"/>
          <w:szCs w:val="28"/>
        </w:rPr>
        <w:t>人。</w:t>
      </w:r>
    </w:p>
    <w:p>
      <w:pPr>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（二）</w:t>
      </w:r>
      <w:r>
        <w:rPr>
          <w:rFonts w:hint="eastAsia" w:asciiTheme="minorEastAsia" w:hAnsiTheme="minorEastAsia"/>
          <w:sz w:val="28"/>
          <w:szCs w:val="28"/>
          <w:lang w:eastAsia="zh-CN"/>
        </w:rPr>
        <w:t>项目介绍</w:t>
      </w:r>
    </w:p>
    <w:p>
      <w:pPr>
        <w:ind w:firstLine="560" w:firstLineChars="200"/>
        <w:jc w:val="left"/>
        <w:rPr>
          <w:rFonts w:asciiTheme="minorEastAsia" w:hAnsiTheme="minorEastAsia"/>
          <w:sz w:val="28"/>
          <w:szCs w:val="28"/>
        </w:rPr>
      </w:pPr>
      <w:r>
        <w:rPr>
          <w:rFonts w:hint="eastAsia" w:asciiTheme="minorEastAsia" w:hAnsiTheme="minorEastAsia"/>
          <w:sz w:val="28"/>
          <w:szCs w:val="28"/>
        </w:rPr>
        <w:t>1. 项目名称：自助洗衣机投放及配套服务项目</w:t>
      </w:r>
    </w:p>
    <w:p>
      <w:pPr>
        <w:ind w:firstLine="560" w:firstLineChars="200"/>
        <w:jc w:val="left"/>
        <w:rPr>
          <w:rFonts w:asciiTheme="minorEastAsia" w:hAnsiTheme="minorEastAsia"/>
          <w:sz w:val="28"/>
          <w:szCs w:val="28"/>
        </w:rPr>
      </w:pPr>
      <w:r>
        <w:rPr>
          <w:rFonts w:hint="eastAsia" w:asciiTheme="minorEastAsia" w:hAnsiTheme="minorEastAsia"/>
          <w:sz w:val="28"/>
          <w:szCs w:val="28"/>
        </w:rPr>
        <w:t>2. 招商单位：新乡医学院三全学院</w:t>
      </w:r>
    </w:p>
    <w:p>
      <w:pPr>
        <w:ind w:firstLine="560" w:firstLineChars="200"/>
        <w:jc w:val="left"/>
        <w:rPr>
          <w:rFonts w:asciiTheme="minorEastAsia" w:hAnsiTheme="minorEastAsia"/>
          <w:sz w:val="28"/>
          <w:szCs w:val="28"/>
        </w:rPr>
      </w:pPr>
      <w:r>
        <w:rPr>
          <w:rFonts w:hint="eastAsia" w:asciiTheme="minorEastAsia" w:hAnsiTheme="minorEastAsia"/>
          <w:sz w:val="28"/>
          <w:szCs w:val="28"/>
        </w:rPr>
        <w:t>3. 招商方式：服务商按校方自助洗衣机投放及配套服务项目要求，免费提供相对应的洗涤设备及服务系统平台，由服务商投资自助洗衣机机器设备及信息服务平台/系统，独立经营、管理，服务商每年向</w:t>
      </w:r>
      <w:r>
        <w:rPr>
          <w:rFonts w:hint="eastAsia" w:asciiTheme="minorEastAsia" w:hAnsiTheme="minorEastAsia"/>
          <w:sz w:val="28"/>
          <w:szCs w:val="28"/>
          <w:lang w:eastAsia="zh-CN"/>
        </w:rPr>
        <w:t>校</w:t>
      </w:r>
      <w:r>
        <w:rPr>
          <w:rFonts w:hint="eastAsia" w:asciiTheme="minorEastAsia" w:hAnsiTheme="minorEastAsia"/>
          <w:sz w:val="28"/>
          <w:szCs w:val="28"/>
        </w:rPr>
        <w:t>方缴纳定额场地费（不包</w:t>
      </w:r>
      <w:bookmarkStart w:id="0" w:name="_GoBack"/>
      <w:bookmarkEnd w:id="0"/>
      <w:r>
        <w:rPr>
          <w:rFonts w:hint="eastAsia" w:asciiTheme="minorEastAsia" w:hAnsiTheme="minorEastAsia"/>
          <w:sz w:val="28"/>
          <w:szCs w:val="28"/>
        </w:rPr>
        <w:t>含水、电费，水电费另缴），服务商为履行合同实现洗衣投放服务所提供的洗涤设备投入、服务系统平台、设计装修及其他相关费用，均由</w:t>
      </w:r>
      <w:r>
        <w:rPr>
          <w:rFonts w:hint="eastAsia" w:asciiTheme="minorEastAsia" w:hAnsiTheme="minorEastAsia"/>
          <w:sz w:val="28"/>
          <w:szCs w:val="28"/>
          <w:lang w:eastAsia="zh-CN"/>
        </w:rPr>
        <w:t>中标</w:t>
      </w:r>
      <w:r>
        <w:rPr>
          <w:rFonts w:hint="eastAsia" w:asciiTheme="minorEastAsia" w:hAnsiTheme="minorEastAsia"/>
          <w:sz w:val="28"/>
          <w:szCs w:val="28"/>
        </w:rPr>
        <w:t>服务商承担，投放洗涤设备所获得的洗涤收费为服务商的收益。</w:t>
      </w:r>
    </w:p>
    <w:p>
      <w:pPr>
        <w:ind w:firstLine="560" w:firstLineChars="200"/>
        <w:jc w:val="left"/>
        <w:rPr>
          <w:rFonts w:asciiTheme="minorEastAsia" w:hAnsiTheme="minorEastAsia"/>
          <w:sz w:val="28"/>
          <w:szCs w:val="28"/>
        </w:rPr>
      </w:pPr>
      <w:r>
        <w:rPr>
          <w:rFonts w:hint="eastAsia" w:asciiTheme="minorEastAsia" w:hAnsiTheme="minorEastAsia"/>
          <w:sz w:val="28"/>
          <w:szCs w:val="28"/>
        </w:rPr>
        <w:t>4. 项目经营范围、投放地点说明（场地设置于指定洗衣房及指定学生公寓、其它指定区域）</w:t>
      </w:r>
    </w:p>
    <w:p>
      <w:pPr>
        <w:jc w:val="left"/>
        <w:rPr>
          <w:rFonts w:asciiTheme="minorEastAsia" w:hAnsiTheme="minorEastAsia"/>
          <w:sz w:val="28"/>
          <w:szCs w:val="28"/>
        </w:rPr>
      </w:pPr>
    </w:p>
    <w:tbl>
      <w:tblPr>
        <w:tblStyle w:val="6"/>
        <w:tblW w:w="9134" w:type="dxa"/>
        <w:jc w:val="center"/>
        <w:shd w:val="clear" w:color="auto" w:fill="FFFFFF"/>
        <w:tblLayout w:type="autofit"/>
        <w:tblCellMar>
          <w:top w:w="0" w:type="dxa"/>
          <w:left w:w="0" w:type="dxa"/>
          <w:bottom w:w="0" w:type="dxa"/>
          <w:right w:w="0" w:type="dxa"/>
        </w:tblCellMar>
      </w:tblPr>
      <w:tblGrid>
        <w:gridCol w:w="4530"/>
        <w:gridCol w:w="2585"/>
        <w:gridCol w:w="2019"/>
      </w:tblGrid>
      <w:tr>
        <w:tblPrEx>
          <w:shd w:val="clear" w:color="auto" w:fill="FFFFFF"/>
          <w:tblCellMar>
            <w:top w:w="0" w:type="dxa"/>
            <w:left w:w="0" w:type="dxa"/>
            <w:bottom w:w="0" w:type="dxa"/>
            <w:right w:w="0" w:type="dxa"/>
          </w:tblCellMar>
        </w:tblPrEx>
        <w:trPr>
          <w:trHeight w:val="705" w:hRule="atLeast"/>
          <w:jc w:val="center"/>
        </w:trPr>
        <w:tc>
          <w:tcPr>
            <w:tcW w:w="45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center"/>
              <w:rPr>
                <w:rFonts w:cs="宋体" w:asciiTheme="minorEastAsia" w:hAnsiTheme="minorEastAsia"/>
                <w:b/>
                <w:color w:val="333333"/>
                <w:kern w:val="0"/>
                <w:szCs w:val="21"/>
              </w:rPr>
            </w:pPr>
            <w:r>
              <w:rPr>
                <w:rFonts w:cs="宋体" w:asciiTheme="minorEastAsia" w:hAnsiTheme="minorEastAsia"/>
                <w:b/>
                <w:color w:val="333333"/>
                <w:kern w:val="0"/>
                <w:sz w:val="24"/>
                <w:szCs w:val="24"/>
              </w:rPr>
              <w:t>自助机器类型及容量</w:t>
            </w:r>
          </w:p>
        </w:tc>
        <w:tc>
          <w:tcPr>
            <w:tcW w:w="25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center"/>
              <w:rPr>
                <w:rFonts w:cs="宋体" w:asciiTheme="minorEastAsia" w:hAnsiTheme="minorEastAsia"/>
                <w:b/>
                <w:color w:val="333333"/>
                <w:kern w:val="0"/>
                <w:szCs w:val="21"/>
              </w:rPr>
            </w:pPr>
            <w:r>
              <w:rPr>
                <w:rFonts w:cs="宋体" w:asciiTheme="minorEastAsia" w:hAnsiTheme="minorEastAsia"/>
                <w:b/>
                <w:color w:val="333333"/>
                <w:kern w:val="0"/>
                <w:sz w:val="24"/>
                <w:szCs w:val="24"/>
              </w:rPr>
              <w:t>洗衣机</w:t>
            </w:r>
          </w:p>
        </w:tc>
        <w:tc>
          <w:tcPr>
            <w:tcW w:w="2019"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center"/>
              <w:rPr>
                <w:rFonts w:cs="宋体" w:asciiTheme="minorEastAsia" w:hAnsiTheme="minorEastAsia"/>
                <w:b/>
                <w:color w:val="333333"/>
                <w:kern w:val="0"/>
                <w:szCs w:val="21"/>
              </w:rPr>
            </w:pPr>
            <w:r>
              <w:rPr>
                <w:rFonts w:cs="宋体" w:asciiTheme="minorEastAsia" w:hAnsiTheme="minorEastAsia"/>
                <w:b/>
                <w:color w:val="333333"/>
                <w:kern w:val="0"/>
                <w:sz w:val="24"/>
                <w:szCs w:val="24"/>
              </w:rPr>
              <w:t>投放区域</w:t>
            </w:r>
          </w:p>
        </w:tc>
      </w:tr>
      <w:tr>
        <w:tblPrEx>
          <w:tblCellMar>
            <w:top w:w="0" w:type="dxa"/>
            <w:left w:w="0" w:type="dxa"/>
            <w:bottom w:w="0" w:type="dxa"/>
            <w:right w:w="0" w:type="dxa"/>
          </w:tblCellMar>
        </w:tblPrEx>
        <w:trPr>
          <w:trHeight w:val="735" w:hRule="atLeast"/>
          <w:jc w:val="center"/>
        </w:trPr>
        <w:tc>
          <w:tcPr>
            <w:tcW w:w="4530" w:type="dxa"/>
            <w:tcBorders>
              <w:top w:val="nil"/>
              <w:left w:val="single" w:color="000000"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left"/>
              <w:rPr>
                <w:rFonts w:cs="宋体" w:asciiTheme="minorEastAsia" w:hAnsiTheme="minorEastAsia"/>
                <w:color w:val="333333"/>
                <w:kern w:val="0"/>
                <w:szCs w:val="21"/>
              </w:rPr>
            </w:pPr>
            <w:r>
              <w:rPr>
                <w:rFonts w:cs="宋体" w:asciiTheme="minorEastAsia" w:hAnsiTheme="minorEastAsia"/>
                <w:color w:val="333333"/>
                <w:kern w:val="0"/>
                <w:sz w:val="24"/>
                <w:szCs w:val="24"/>
              </w:rPr>
              <w:t>容量为≥8KG商用全自动滚筒洗衣机、不锈钢内胆。</w:t>
            </w:r>
          </w:p>
        </w:tc>
        <w:tc>
          <w:tcPr>
            <w:tcW w:w="2585"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 w:val="24"/>
                <w:szCs w:val="24"/>
                <w:lang w:val="en-US" w:eastAsia="zh-CN"/>
              </w:rPr>
              <w:t>40</w:t>
            </w:r>
            <w:r>
              <w:rPr>
                <w:rFonts w:cs="宋体" w:asciiTheme="minorEastAsia" w:hAnsiTheme="minorEastAsia"/>
                <w:color w:val="333333"/>
                <w:kern w:val="0"/>
                <w:sz w:val="24"/>
                <w:szCs w:val="24"/>
              </w:rPr>
              <w:t>台</w:t>
            </w:r>
          </w:p>
        </w:tc>
        <w:tc>
          <w:tcPr>
            <w:tcW w:w="2019" w:type="dxa"/>
            <w:tcBorders>
              <w:top w:val="nil"/>
              <w:left w:val="nil"/>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center"/>
              <w:rPr>
                <w:rFonts w:cs="宋体" w:asciiTheme="minorEastAsia" w:hAnsiTheme="minorEastAsia"/>
                <w:color w:val="333333"/>
                <w:kern w:val="0"/>
                <w:szCs w:val="21"/>
              </w:rPr>
            </w:pPr>
            <w:r>
              <w:rPr>
                <w:rFonts w:cs="宋体" w:asciiTheme="minorEastAsia" w:hAnsiTheme="minorEastAsia"/>
                <w:color w:val="333333"/>
                <w:kern w:val="0"/>
                <w:sz w:val="24"/>
                <w:szCs w:val="24"/>
              </w:rPr>
              <w:t>指定洗衣房点位</w:t>
            </w:r>
          </w:p>
        </w:tc>
      </w:tr>
      <w:tr>
        <w:tblPrEx>
          <w:tblCellMar>
            <w:top w:w="0" w:type="dxa"/>
            <w:left w:w="0" w:type="dxa"/>
            <w:bottom w:w="0" w:type="dxa"/>
            <w:right w:w="0" w:type="dxa"/>
          </w:tblCellMar>
        </w:tblPrEx>
        <w:trPr>
          <w:trHeight w:val="735" w:hRule="atLeast"/>
          <w:jc w:val="center"/>
        </w:trPr>
        <w:tc>
          <w:tcPr>
            <w:tcW w:w="9134" w:type="dxa"/>
            <w:gridSpan w:val="3"/>
            <w:tcBorders>
              <w:top w:val="single" w:color="auto" w:sz="4"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Autospacing="1" w:afterAutospacing="1" w:line="315" w:lineRule="atLeast"/>
              <w:jc w:val="left"/>
              <w:rPr>
                <w:rFonts w:cs="宋体" w:asciiTheme="minorEastAsia" w:hAnsiTheme="minorEastAsia"/>
                <w:color w:val="333333"/>
                <w:kern w:val="0"/>
                <w:sz w:val="24"/>
                <w:szCs w:val="24"/>
              </w:rPr>
            </w:pPr>
            <w:r>
              <w:rPr>
                <w:rFonts w:hint="eastAsia" w:asciiTheme="minorEastAsia" w:hAnsiTheme="minorEastAsia"/>
                <w:color w:val="333333"/>
                <w:shd w:val="clear" w:color="auto" w:fill="FFFFFF"/>
              </w:rPr>
              <w:t>注：洗衣房需要服务商自行投入费用进行场地装修、改造（本着不浪费、不重复建设的原则，洗衣房原有基础设施经与甲方商定可决定是否保留），使用过程中产生的水、电等能耗费用需要据实按照学校相关规定向</w:t>
            </w:r>
            <w:r>
              <w:rPr>
                <w:rFonts w:hint="eastAsia" w:asciiTheme="minorEastAsia" w:hAnsiTheme="minorEastAsia"/>
                <w:color w:val="333333"/>
                <w:shd w:val="clear" w:color="auto" w:fill="FFFFFF"/>
                <w:lang w:eastAsia="zh-CN"/>
              </w:rPr>
              <w:t>校</w:t>
            </w:r>
            <w:r>
              <w:rPr>
                <w:rFonts w:hint="eastAsia" w:asciiTheme="minorEastAsia" w:hAnsiTheme="minorEastAsia"/>
                <w:color w:val="333333"/>
                <w:shd w:val="clear" w:color="auto" w:fill="FFFFFF"/>
              </w:rPr>
              <w:t>方缴纳。</w:t>
            </w:r>
          </w:p>
        </w:tc>
      </w:tr>
    </w:tbl>
    <w:p>
      <w:pPr>
        <w:ind w:firstLine="560" w:firstLineChars="200"/>
        <w:jc w:val="left"/>
        <w:rPr>
          <w:rFonts w:asciiTheme="minorEastAsia" w:hAnsiTheme="minorEastAsia"/>
          <w:sz w:val="28"/>
          <w:szCs w:val="28"/>
        </w:rPr>
      </w:pPr>
      <w:r>
        <w:rPr>
          <w:rFonts w:hint="eastAsia" w:asciiTheme="minorEastAsia" w:hAnsiTheme="minorEastAsia"/>
          <w:sz w:val="28"/>
          <w:szCs w:val="28"/>
        </w:rPr>
        <w:t>5.服务商自助洗衣项目提供的服务系统平台及学生支付系统，须做好与学校智慧校园及财务信息化对接的准备，服从学校管理要求。</w:t>
      </w:r>
    </w:p>
    <w:p>
      <w:pPr>
        <w:ind w:firstLine="560" w:firstLineChars="200"/>
        <w:jc w:val="left"/>
        <w:rPr>
          <w:rFonts w:asciiTheme="minorEastAsia" w:hAnsiTheme="minorEastAsia"/>
          <w:sz w:val="28"/>
          <w:szCs w:val="28"/>
        </w:rPr>
      </w:pPr>
      <w:r>
        <w:rPr>
          <w:rFonts w:hint="eastAsia" w:asciiTheme="minorEastAsia" w:hAnsiTheme="minorEastAsia"/>
          <w:sz w:val="28"/>
          <w:szCs w:val="28"/>
        </w:rPr>
        <w:t>6.重要告知：学校实际使用洗涤设备的学生数由服务商自行了解，学校校园非封闭式管理，对学生自行购买洗衣机不做限制，服务商须充分考虑寒暑假因素、网络洗衣商潜在竞争因素，自行承担经营风险，理性投报场地费报价。</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二、合同期限</w:t>
      </w:r>
    </w:p>
    <w:p>
      <w:pPr>
        <w:ind w:firstLine="560" w:firstLineChars="200"/>
        <w:jc w:val="left"/>
        <w:rPr>
          <w:rFonts w:asciiTheme="minorEastAsia" w:hAnsiTheme="minorEastAsia"/>
          <w:sz w:val="28"/>
          <w:szCs w:val="28"/>
        </w:rPr>
      </w:pPr>
      <w:r>
        <w:rPr>
          <w:rFonts w:hint="eastAsia" w:asciiTheme="minorEastAsia" w:hAnsiTheme="minorEastAsia"/>
          <w:sz w:val="28"/>
          <w:szCs w:val="28"/>
        </w:rPr>
        <w:t>场地使用期限：本项目合同期最长不超过三年，采用1+1+1模式，合同一年签订一次。每年由校方根据师生服务满意度调查、合同履约完成情况、服从学校管理情况进行满意度综合考评，满意度良好及以上的，经乙方（服务商）书面申请，可续签下一次合同；考评达不到良好的，甲方有权终止合同，不再续签。最后一次合同终止日期原则上为终止日当年的6月30日止。</w:t>
      </w:r>
    </w:p>
    <w:p>
      <w:pPr>
        <w:pStyle w:val="5"/>
        <w:keepNext w:val="0"/>
        <w:keepLines w:val="0"/>
        <w:widowControl/>
        <w:suppressLineNumbers w:val="0"/>
        <w:spacing w:before="150" w:beforeAutospacing="0" w:after="0" w:afterAutospacing="0" w:line="480" w:lineRule="auto"/>
        <w:ind w:left="0" w:right="0" w:firstLine="562" w:firstLineChars="200"/>
        <w:jc w:val="left"/>
        <w:rPr>
          <w:rFonts w:hint="eastAsia" w:ascii="宋体" w:hAnsi="宋体" w:eastAsia="宋体" w:cs="宋体"/>
          <w:color w:val="000000"/>
          <w:kern w:val="0"/>
          <w:sz w:val="28"/>
          <w:szCs w:val="28"/>
          <w:lang w:val="en-US" w:eastAsia="zh-CN" w:bidi="ar"/>
        </w:rPr>
      </w:pPr>
      <w:r>
        <w:rPr>
          <w:rFonts w:hint="eastAsia" w:asciiTheme="minorEastAsia" w:hAnsiTheme="minorEastAsia"/>
          <w:b/>
          <w:sz w:val="28"/>
          <w:szCs w:val="28"/>
        </w:rPr>
        <w:t>三、</w:t>
      </w:r>
      <w:r>
        <w:rPr>
          <w:rFonts w:hint="eastAsia" w:asciiTheme="minorEastAsia" w:hAnsiTheme="minorEastAsia"/>
          <w:b/>
          <w:sz w:val="28"/>
          <w:szCs w:val="28"/>
          <w:lang w:eastAsia="zh-CN"/>
        </w:rPr>
        <w:t>投标</w:t>
      </w:r>
      <w:r>
        <w:rPr>
          <w:rFonts w:hint="eastAsia" w:asciiTheme="minorEastAsia" w:hAnsiTheme="minorEastAsia"/>
          <w:b/>
          <w:sz w:val="28"/>
          <w:szCs w:val="28"/>
        </w:rPr>
        <w:t>保证金：</w:t>
      </w:r>
      <w:r>
        <w:rPr>
          <w:rFonts w:hint="eastAsia" w:asciiTheme="minorEastAsia" w:hAnsiTheme="minorEastAsia"/>
          <w:sz w:val="28"/>
          <w:szCs w:val="28"/>
          <w:lang w:eastAsia="zh-CN"/>
        </w:rPr>
        <w:t>本项目投标保证金为</w:t>
      </w:r>
      <w:r>
        <w:rPr>
          <w:rFonts w:hint="eastAsia" w:asciiTheme="minorEastAsia" w:hAnsiTheme="minorEastAsia"/>
          <w:sz w:val="28"/>
          <w:szCs w:val="28"/>
          <w:lang w:val="en-US" w:eastAsia="zh-CN"/>
        </w:rPr>
        <w:t>10000元，缴纳截</w:t>
      </w:r>
      <w:r>
        <w:rPr>
          <w:rFonts w:hint="eastAsia" w:ascii="宋体" w:hAnsi="宋体" w:eastAsia="宋体" w:cs="宋体"/>
          <w:color w:val="000000"/>
          <w:kern w:val="0"/>
          <w:sz w:val="28"/>
          <w:szCs w:val="28"/>
          <w:lang w:val="en-US" w:eastAsia="zh-CN" w:bidi="ar"/>
        </w:rPr>
        <w:t>止时间为开标前一天下午5点。各商家应按规定足额按时通过电汇、转账、网银支付方式将投标保证金转入学院指定账户，不接受现金交纳。未按时、足额缴纳的视为弃标。中标商家确定后，投标保证金自动转为履约保证金。</w:t>
      </w:r>
    </w:p>
    <w:p>
      <w:pPr>
        <w:pStyle w:val="5"/>
        <w:keepNext w:val="0"/>
        <w:keepLines w:val="0"/>
        <w:widowControl/>
        <w:suppressLineNumbers w:val="0"/>
        <w:spacing w:before="150" w:beforeAutospacing="0" w:after="0" w:afterAutospacing="0" w:line="480" w:lineRule="auto"/>
        <w:ind w:left="0" w:right="0" w:firstLine="560" w:firstLineChars="20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单位名称：新乡医学院三全学院</w:t>
      </w:r>
      <w:r>
        <w:rPr>
          <w:rFonts w:hint="eastAsia" w:ascii="宋体" w:hAnsi="宋体" w:eastAsia="宋体" w:cs="宋体"/>
          <w:color w:val="000000"/>
          <w:kern w:val="0"/>
          <w:sz w:val="28"/>
          <w:szCs w:val="28"/>
          <w:lang w:val="en-US" w:eastAsia="zh-CN" w:bidi="ar"/>
        </w:rPr>
        <w:t>。</w:t>
      </w:r>
      <w:r>
        <w:rPr>
          <w:rFonts w:hint="default" w:ascii="宋体" w:hAnsi="宋体" w:eastAsia="宋体" w:cs="宋体"/>
          <w:color w:val="000000"/>
          <w:kern w:val="0"/>
          <w:sz w:val="28"/>
          <w:szCs w:val="28"/>
          <w:lang w:val="en-US" w:eastAsia="zh-CN" w:bidi="ar"/>
        </w:rPr>
        <w:t>汇款账号：4100 1561 7100 5000 1297</w:t>
      </w:r>
    </w:p>
    <w:p>
      <w:pPr>
        <w:pStyle w:val="5"/>
        <w:keepNext w:val="0"/>
        <w:keepLines w:val="0"/>
        <w:widowControl/>
        <w:suppressLineNumbers w:val="0"/>
        <w:spacing w:before="150" w:beforeAutospacing="0" w:after="0" w:afterAutospacing="0" w:line="480" w:lineRule="auto"/>
        <w:ind w:right="0" w:firstLine="560" w:firstLineChars="20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开户行：建行新乡洪门支行</w:t>
      </w:r>
      <w:r>
        <w:rPr>
          <w:rFonts w:hint="eastAsia" w:ascii="宋体" w:hAnsi="宋体" w:eastAsia="宋体" w:cs="宋体"/>
          <w:color w:val="000000"/>
          <w:kern w:val="0"/>
          <w:sz w:val="28"/>
          <w:szCs w:val="28"/>
          <w:lang w:val="en-US" w:eastAsia="zh-CN" w:bidi="ar"/>
        </w:rPr>
        <w:t>。</w:t>
      </w:r>
    </w:p>
    <w:p>
      <w:pPr>
        <w:ind w:firstLine="562" w:firstLineChars="200"/>
        <w:jc w:val="left"/>
        <w:rPr>
          <w:rFonts w:asciiTheme="minorEastAsia" w:hAnsiTheme="minorEastAsia"/>
          <w:b/>
          <w:sz w:val="28"/>
          <w:szCs w:val="28"/>
        </w:rPr>
      </w:pPr>
      <w:r>
        <w:rPr>
          <w:rFonts w:hint="eastAsia" w:asciiTheme="minorEastAsia" w:hAnsiTheme="minorEastAsia"/>
          <w:b/>
          <w:sz w:val="28"/>
          <w:szCs w:val="28"/>
        </w:rPr>
        <w:t>四、项目需求：</w:t>
      </w:r>
    </w:p>
    <w:p>
      <w:pPr>
        <w:ind w:firstLine="560" w:firstLineChars="200"/>
        <w:jc w:val="left"/>
        <w:rPr>
          <w:rFonts w:asciiTheme="minorEastAsia" w:hAnsiTheme="minorEastAsia"/>
          <w:b w:val="0"/>
          <w:bCs w:val="0"/>
          <w:color w:val="000000" w:themeColor="text1"/>
          <w:sz w:val="28"/>
          <w:szCs w:val="28"/>
          <w14:textFill>
            <w14:solidFill>
              <w14:schemeClr w14:val="tx1"/>
            </w14:solidFill>
          </w14:textFill>
        </w:rPr>
      </w:pPr>
      <w:r>
        <w:rPr>
          <w:rFonts w:hint="eastAsia" w:asciiTheme="minorEastAsia" w:hAnsiTheme="minorEastAsia"/>
          <w:sz w:val="28"/>
          <w:szCs w:val="28"/>
          <w:lang w:val="en-US" w:eastAsia="zh-CN"/>
        </w:rPr>
        <w:t>1</w:t>
      </w:r>
      <w:r>
        <w:rPr>
          <w:rFonts w:hint="eastAsia" w:asciiTheme="minorEastAsia" w:hAnsiTheme="minorEastAsia"/>
          <w:sz w:val="28"/>
          <w:szCs w:val="28"/>
        </w:rPr>
        <w:t>.</w:t>
      </w:r>
      <w:r>
        <w:rPr>
          <w:rFonts w:hint="eastAsia" w:asciiTheme="minorEastAsia" w:hAnsiTheme="minorEastAsia"/>
          <w:b w:val="0"/>
          <w:bCs w:val="0"/>
          <w:color w:val="000000" w:themeColor="text1"/>
          <w:sz w:val="28"/>
          <w:szCs w:val="28"/>
          <w14:textFill>
            <w14:solidFill>
              <w14:schemeClr w14:val="tx1"/>
            </w14:solidFill>
          </w14:textFill>
        </w:rPr>
        <w:t>洗涤设备通过在线信息平台能够实现手机智能支付管理，可在统一系统平台上实现微信和支付宝两种支付功能，能够实现手机在线预约洗衣，在线查看洗衣时长和进度。</w:t>
      </w:r>
    </w:p>
    <w:p>
      <w:pPr>
        <w:ind w:firstLine="560" w:firstLineChars="200"/>
        <w:jc w:val="left"/>
        <w:rPr>
          <w:rFonts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.出现故障后，服务商接到招商人通知应在不超过2小时内做出响应，不超过2个工作日内解决故障。</w:t>
      </w:r>
    </w:p>
    <w:p>
      <w:pPr>
        <w:ind w:firstLine="560" w:firstLineChars="200"/>
        <w:jc w:val="left"/>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.服务商具有高校学生宿舍自助洗衣机项目管理经验。</w:t>
      </w:r>
    </w:p>
    <w:p>
      <w:pPr>
        <w:ind w:firstLine="560" w:firstLineChars="200"/>
        <w:jc w:val="left"/>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成交服务商必须安排至少一名专职人员在学校为本项目进行全过程管理（包括但不限于设备故障及时发现、及时维护，洗衣房现场卫生保洁保持、处理支付系统及服务系统信息故障问题、学生投诉处理等），在学校服务区域管理、巡视时间不少于2小时/每天。</w:t>
      </w:r>
    </w:p>
    <w:p>
      <w:pPr>
        <w:jc w:val="left"/>
        <w:rPr>
          <w:rFonts w:asciiTheme="minorEastAsia" w:hAnsiTheme="minorEastAsia"/>
          <w:sz w:val="28"/>
          <w:szCs w:val="28"/>
        </w:rPr>
      </w:pPr>
    </w:p>
    <w:p>
      <w:pPr>
        <w:jc w:val="right"/>
        <w:rPr>
          <w:rFonts w:asciiTheme="minorEastAsia" w:hAnsiTheme="minorEastAsia"/>
          <w:sz w:val="28"/>
          <w:szCs w:val="28"/>
        </w:rPr>
      </w:pPr>
    </w:p>
    <w:p>
      <w:pPr>
        <w:jc w:val="right"/>
        <w:rPr>
          <w:rFonts w:hint="eastAsia" w:asciiTheme="minorEastAsia" w:hAnsiTheme="minorEastAsia"/>
          <w:sz w:val="28"/>
          <w:szCs w:val="28"/>
          <w:lang w:eastAsia="zh-CN"/>
        </w:rPr>
      </w:pPr>
      <w:r>
        <w:rPr>
          <w:rFonts w:hint="eastAsia" w:asciiTheme="minorEastAsia" w:hAnsiTheme="minorEastAsia"/>
          <w:sz w:val="28"/>
          <w:szCs w:val="28"/>
          <w:lang w:eastAsia="zh-CN"/>
        </w:rPr>
        <w:t>新乡医学院三全学院招投标与集中采购部</w:t>
      </w:r>
    </w:p>
    <w:p>
      <w:pPr>
        <w:jc w:val="center"/>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lang w:eastAsia="zh-CN"/>
        </w:rPr>
        <w:t>二〇一九年十二月十八日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85"/>
    <w:rsid w:val="00091ED4"/>
    <w:rsid w:val="003503AB"/>
    <w:rsid w:val="00370D6B"/>
    <w:rsid w:val="004F208B"/>
    <w:rsid w:val="00644C47"/>
    <w:rsid w:val="00BD7DEF"/>
    <w:rsid w:val="00D46EBD"/>
    <w:rsid w:val="00E70B0B"/>
    <w:rsid w:val="00EF6F92"/>
    <w:rsid w:val="00F30985"/>
    <w:rsid w:val="4BCD3967"/>
    <w:rsid w:val="5165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233</Words>
  <Characters>1332</Characters>
  <Lines>11</Lines>
  <Paragraphs>3</Paragraphs>
  <TotalTime>11</TotalTime>
  <ScaleCrop>false</ScaleCrop>
  <LinksUpToDate>false</LinksUpToDate>
  <CharactersWithSpaces>1562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2019-09-20T02:06:00Z</dcterms:created>
  <dc:creator>郎海军</dc:creator>
  <cp:lastModifiedBy>王</cp:lastModifiedBy>
  <dcterms:modified xsi:type="dcterms:W3CDTF">2019-12-18T02:15:46Z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