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C551" w14:textId="245D9B41" w:rsidR="000F57D3" w:rsidRPr="00244FBF" w:rsidRDefault="00244FBF">
      <w:pPr>
        <w:spacing w:line="276" w:lineRule="auto"/>
        <w:jc w:val="center"/>
        <w:rPr>
          <w:rFonts w:ascii="方正小标宋简体" w:eastAsia="方正小标宋简体" w:hAnsiTheme="minorEastAsia" w:hint="eastAsia"/>
        </w:rPr>
      </w:pPr>
      <w:r w:rsidRPr="00244FBF">
        <w:rPr>
          <w:rFonts w:ascii="方正小标宋简体" w:eastAsia="方正小标宋简体" w:hAnsi="微软雅黑" w:cs="微软雅黑" w:hint="eastAsia"/>
          <w:sz w:val="36"/>
          <w:szCs w:val="44"/>
        </w:rPr>
        <w:t>项目要求</w:t>
      </w:r>
    </w:p>
    <w:p w14:paraId="5DDF9CF3" w14:textId="77777777" w:rsidR="000F57D3" w:rsidRDefault="000F57D3">
      <w:pPr>
        <w:ind w:firstLineChars="200" w:firstLine="560"/>
        <w:jc w:val="left"/>
        <w:rPr>
          <w:rFonts w:ascii="微软雅黑" w:eastAsia="微软雅黑" w:hAnsi="微软雅黑" w:cs="微软雅黑"/>
          <w:sz w:val="28"/>
          <w:szCs w:val="36"/>
        </w:rPr>
      </w:pPr>
    </w:p>
    <w:p w14:paraId="13B9B48A" w14:textId="359698AA" w:rsidR="000F57D3" w:rsidRDefault="00744446">
      <w:pPr>
        <w:numPr>
          <w:ilvl w:val="0"/>
          <w:numId w:val="2"/>
        </w:numPr>
        <w:jc w:val="left"/>
        <w:rPr>
          <w:rFonts w:ascii="微软雅黑" w:eastAsia="微软雅黑" w:hAnsi="微软雅黑" w:cs="微软雅黑"/>
          <w:b/>
          <w:bCs/>
          <w:sz w:val="28"/>
          <w:szCs w:val="36"/>
        </w:rPr>
      </w:pPr>
      <w:r>
        <w:rPr>
          <w:rFonts w:ascii="微软雅黑" w:eastAsia="微软雅黑" w:hAnsi="微软雅黑" w:cs="微软雅黑" w:hint="eastAsia"/>
          <w:b/>
          <w:bCs/>
          <w:sz w:val="28"/>
          <w:szCs w:val="36"/>
        </w:rPr>
        <w:t>建设目标</w:t>
      </w:r>
    </w:p>
    <w:p w14:paraId="564FD39E" w14:textId="77777777" w:rsidR="000F57D3" w:rsidRDefault="00744446">
      <w:pPr>
        <w:ind w:firstLineChars="200" w:firstLine="560"/>
        <w:jc w:val="left"/>
        <w:rPr>
          <w:rFonts w:ascii="微软雅黑" w:eastAsia="微软雅黑" w:hAnsi="微软雅黑" w:cs="微软雅黑"/>
          <w:sz w:val="28"/>
          <w:szCs w:val="36"/>
        </w:rPr>
      </w:pPr>
      <w:r>
        <w:rPr>
          <w:rFonts w:ascii="微软雅黑" w:eastAsia="微软雅黑" w:hAnsi="微软雅黑" w:cs="微软雅黑" w:hint="eastAsia"/>
          <w:sz w:val="28"/>
          <w:szCs w:val="36"/>
        </w:rPr>
        <w:t>1.确保校内系统的身份认证机制和访问控制系统具有较高的安全性，只有经过授权的用户能够访问相应的敏感信息和系统功能。</w:t>
      </w:r>
    </w:p>
    <w:p w14:paraId="4F764B29" w14:textId="77777777" w:rsidR="000F57D3" w:rsidRDefault="00744446">
      <w:pPr>
        <w:ind w:firstLineChars="200" w:firstLine="560"/>
        <w:jc w:val="left"/>
        <w:rPr>
          <w:rFonts w:ascii="微软雅黑" w:eastAsia="微软雅黑" w:hAnsi="微软雅黑" w:cs="微软雅黑"/>
          <w:sz w:val="28"/>
          <w:szCs w:val="36"/>
        </w:rPr>
      </w:pPr>
      <w:r>
        <w:rPr>
          <w:rFonts w:ascii="微软雅黑" w:eastAsia="微软雅黑" w:hAnsi="微软雅黑" w:cs="微软雅黑" w:hint="eastAsia"/>
          <w:sz w:val="28"/>
          <w:szCs w:val="36"/>
        </w:rPr>
        <w:t>2.提高校园系统对学生和教职员工个人数据的隐私保护水平，确保信息处理符合相关法规和合规性要求。</w:t>
      </w:r>
    </w:p>
    <w:p w14:paraId="082E39EA" w14:textId="77777777" w:rsidR="000F57D3" w:rsidRDefault="00744446">
      <w:pPr>
        <w:ind w:firstLineChars="200" w:firstLine="560"/>
        <w:rPr>
          <w:rFonts w:ascii="仿宋_GB2312" w:eastAsia="仿宋_GB2312" w:hAnsi="华文细黑"/>
          <w:sz w:val="28"/>
          <w:szCs w:val="28"/>
        </w:rPr>
      </w:pPr>
      <w:r>
        <w:rPr>
          <w:rFonts w:ascii="微软雅黑" w:eastAsia="微软雅黑" w:hAnsi="微软雅黑" w:cs="微软雅黑" w:hint="eastAsia"/>
          <w:sz w:val="28"/>
          <w:szCs w:val="36"/>
        </w:rPr>
        <w:t>3.通过对信息系统进行全面梳理，并实施网络安全等级测评，排查网络安全隐患和薄弱环节，逐步完善网络安全管理制度和技术措施，增强网络安全防护能力，保证合法合规。</w:t>
      </w:r>
    </w:p>
    <w:p w14:paraId="70708D90" w14:textId="6D6B7EA2" w:rsidR="000F57D3" w:rsidRDefault="00744446">
      <w:pPr>
        <w:numPr>
          <w:ilvl w:val="0"/>
          <w:numId w:val="2"/>
        </w:numPr>
        <w:jc w:val="left"/>
        <w:rPr>
          <w:rFonts w:ascii="微软雅黑" w:eastAsia="微软雅黑" w:hAnsi="微软雅黑" w:cs="微软雅黑"/>
          <w:b/>
          <w:bCs/>
          <w:sz w:val="28"/>
          <w:szCs w:val="36"/>
        </w:rPr>
      </w:pPr>
      <w:r>
        <w:rPr>
          <w:rFonts w:ascii="微软雅黑" w:eastAsia="微软雅黑" w:hAnsi="微软雅黑" w:cs="微软雅黑" w:hint="eastAsia"/>
          <w:b/>
          <w:bCs/>
          <w:sz w:val="28"/>
          <w:szCs w:val="36"/>
        </w:rPr>
        <w:t>建设方案</w:t>
      </w:r>
    </w:p>
    <w:p w14:paraId="28F3B910" w14:textId="77777777" w:rsidR="000F57D3" w:rsidRDefault="00744446">
      <w:pPr>
        <w:pStyle w:val="3"/>
        <w:numPr>
          <w:ilvl w:val="2"/>
          <w:numId w:val="0"/>
        </w:numPr>
        <w:ind w:firstLine="420"/>
        <w:rPr>
          <w:rFonts w:ascii="微软雅黑" w:eastAsia="微软雅黑" w:hAnsi="微软雅黑" w:cs="微软雅黑"/>
          <w:b w:val="0"/>
          <w:bCs w:val="0"/>
          <w:sz w:val="28"/>
          <w:szCs w:val="36"/>
        </w:rPr>
      </w:pPr>
      <w:r>
        <w:rPr>
          <w:rFonts w:ascii="微软雅黑" w:eastAsia="微软雅黑" w:hAnsi="微软雅黑" w:cs="微软雅黑" w:hint="eastAsia"/>
          <w:b w:val="0"/>
          <w:bCs w:val="0"/>
          <w:sz w:val="28"/>
          <w:szCs w:val="36"/>
        </w:rPr>
        <w:t>对校园网站综合、自动化办公、智慧三全APP及信息门户四个系统开展信息安全等级保护测评，分别包括</w:t>
      </w:r>
      <w:bookmarkStart w:id="0" w:name="_Toc72849773"/>
      <w:r>
        <w:rPr>
          <w:rFonts w:ascii="微软雅黑" w:eastAsia="微软雅黑" w:hAnsi="微软雅黑" w:cs="微软雅黑" w:hint="eastAsia"/>
          <w:b w:val="0"/>
          <w:bCs w:val="0"/>
          <w:sz w:val="28"/>
          <w:szCs w:val="36"/>
        </w:rPr>
        <w:t>信息系统梳理及定级</w:t>
      </w:r>
      <w:bookmarkEnd w:id="0"/>
      <w:r>
        <w:rPr>
          <w:rFonts w:ascii="微软雅黑" w:eastAsia="微软雅黑" w:hAnsi="微软雅黑" w:cs="微软雅黑" w:hint="eastAsia"/>
          <w:b w:val="0"/>
          <w:bCs w:val="0"/>
          <w:sz w:val="28"/>
          <w:szCs w:val="36"/>
        </w:rPr>
        <w:t>、</w:t>
      </w:r>
      <w:bookmarkStart w:id="1" w:name="_Toc72849774"/>
      <w:r>
        <w:rPr>
          <w:rFonts w:ascii="微软雅黑" w:eastAsia="微软雅黑" w:hAnsi="微软雅黑" w:cs="微软雅黑" w:hint="eastAsia"/>
          <w:b w:val="0"/>
          <w:bCs w:val="0"/>
          <w:sz w:val="28"/>
          <w:szCs w:val="36"/>
        </w:rPr>
        <w:t>信息系统测评及备案</w:t>
      </w:r>
      <w:bookmarkEnd w:id="1"/>
      <w:r>
        <w:rPr>
          <w:rFonts w:ascii="微软雅黑" w:eastAsia="微软雅黑" w:hAnsi="微软雅黑" w:cs="微软雅黑" w:hint="eastAsia"/>
          <w:b w:val="0"/>
          <w:bCs w:val="0"/>
          <w:sz w:val="28"/>
          <w:szCs w:val="36"/>
        </w:rPr>
        <w:t>、</w:t>
      </w:r>
      <w:bookmarkStart w:id="2" w:name="_Toc72849775"/>
      <w:r>
        <w:rPr>
          <w:rFonts w:ascii="微软雅黑" w:eastAsia="微软雅黑" w:hAnsi="微软雅黑" w:cs="微软雅黑" w:hint="eastAsia"/>
          <w:b w:val="0"/>
          <w:bCs w:val="0"/>
          <w:sz w:val="28"/>
          <w:szCs w:val="36"/>
        </w:rPr>
        <w:t>安全管理情况的评估</w:t>
      </w:r>
      <w:bookmarkEnd w:id="2"/>
      <w:r>
        <w:rPr>
          <w:rFonts w:ascii="微软雅黑" w:eastAsia="微软雅黑" w:hAnsi="微软雅黑" w:cs="微软雅黑" w:hint="eastAsia"/>
          <w:b w:val="0"/>
          <w:bCs w:val="0"/>
          <w:sz w:val="28"/>
          <w:szCs w:val="36"/>
        </w:rPr>
        <w:t>、</w:t>
      </w:r>
      <w:bookmarkStart w:id="3" w:name="_Toc72849776"/>
      <w:r>
        <w:rPr>
          <w:rFonts w:ascii="微软雅黑" w:eastAsia="微软雅黑" w:hAnsi="微软雅黑" w:cs="微软雅黑" w:hint="eastAsia"/>
          <w:b w:val="0"/>
          <w:bCs w:val="0"/>
          <w:sz w:val="28"/>
          <w:szCs w:val="36"/>
        </w:rPr>
        <w:t>技术防护情况的评估</w:t>
      </w:r>
      <w:bookmarkStart w:id="4" w:name="_Toc72849777"/>
      <w:bookmarkEnd w:id="3"/>
      <w:r>
        <w:rPr>
          <w:rFonts w:ascii="微软雅黑" w:eastAsia="微软雅黑" w:hAnsi="微软雅黑" w:cs="微软雅黑" w:hint="eastAsia"/>
          <w:b w:val="0"/>
          <w:bCs w:val="0"/>
          <w:sz w:val="28"/>
          <w:szCs w:val="36"/>
        </w:rPr>
        <w:t>和系统整体安全情况评估</w:t>
      </w:r>
      <w:bookmarkEnd w:id="4"/>
      <w:r>
        <w:rPr>
          <w:rFonts w:ascii="微软雅黑" w:eastAsia="微软雅黑" w:hAnsi="微软雅黑" w:cs="微软雅黑" w:hint="eastAsia"/>
          <w:b w:val="0"/>
          <w:bCs w:val="0"/>
          <w:sz w:val="28"/>
          <w:szCs w:val="36"/>
        </w:rPr>
        <w:t>。满足符合国家规定和标准规范，发现安全问题，确定建设整改需求，符合公安机关、行业主管部门监管要求，规避责任风险等。</w:t>
      </w:r>
    </w:p>
    <w:tbl>
      <w:tblPr>
        <w:tblpPr w:leftFromText="180" w:rightFromText="180" w:vertAnchor="text" w:tblpXSpec="center" w:tblpY="1"/>
        <w:tblOverlap w:val="neve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1419"/>
        <w:gridCol w:w="6390"/>
      </w:tblGrid>
      <w:tr w:rsidR="000F57D3" w14:paraId="6EA22821" w14:textId="77777777">
        <w:trPr>
          <w:trHeight w:val="993"/>
        </w:trPr>
        <w:tc>
          <w:tcPr>
            <w:tcW w:w="1002" w:type="dxa"/>
            <w:vAlign w:val="center"/>
          </w:tcPr>
          <w:p w14:paraId="290F5615" w14:textId="77777777" w:rsidR="000F57D3" w:rsidRDefault="00744446">
            <w:pPr>
              <w:widowControl/>
              <w:spacing w:line="360" w:lineRule="auto"/>
              <w:jc w:val="center"/>
              <w:rPr>
                <w:rFonts w:ascii="Times New Roman" w:hAnsi="Times New Roman"/>
                <w:b/>
                <w:bCs/>
                <w:kern w:val="0"/>
                <w:szCs w:val="21"/>
              </w:rPr>
            </w:pPr>
            <w:r>
              <w:rPr>
                <w:rFonts w:ascii="Times New Roman" w:hAnsi="Times New Roman"/>
                <w:b/>
                <w:bCs/>
                <w:kern w:val="0"/>
                <w:szCs w:val="21"/>
              </w:rPr>
              <w:t>序号</w:t>
            </w:r>
          </w:p>
        </w:tc>
        <w:tc>
          <w:tcPr>
            <w:tcW w:w="1419" w:type="dxa"/>
            <w:vAlign w:val="center"/>
          </w:tcPr>
          <w:p w14:paraId="4C66311B" w14:textId="77777777" w:rsidR="000F57D3" w:rsidRDefault="00744446">
            <w:pPr>
              <w:widowControl/>
              <w:spacing w:line="360" w:lineRule="auto"/>
              <w:jc w:val="center"/>
              <w:rPr>
                <w:rFonts w:ascii="Times New Roman" w:hAnsi="Times New Roman"/>
                <w:b/>
                <w:bCs/>
                <w:kern w:val="0"/>
                <w:szCs w:val="21"/>
              </w:rPr>
            </w:pPr>
            <w:r>
              <w:rPr>
                <w:rFonts w:ascii="Times New Roman" w:hAnsi="Times New Roman"/>
                <w:b/>
                <w:bCs/>
                <w:kern w:val="0"/>
                <w:szCs w:val="21"/>
              </w:rPr>
              <w:t>名称</w:t>
            </w:r>
          </w:p>
        </w:tc>
        <w:tc>
          <w:tcPr>
            <w:tcW w:w="6390" w:type="dxa"/>
            <w:vAlign w:val="center"/>
          </w:tcPr>
          <w:p w14:paraId="0776AB9C" w14:textId="77777777" w:rsidR="000F57D3" w:rsidRDefault="00744446">
            <w:pPr>
              <w:widowControl/>
              <w:spacing w:line="360" w:lineRule="auto"/>
              <w:jc w:val="center"/>
              <w:rPr>
                <w:rFonts w:ascii="Times New Roman" w:hAnsi="Times New Roman"/>
                <w:b/>
                <w:bCs/>
                <w:kern w:val="0"/>
                <w:szCs w:val="21"/>
              </w:rPr>
            </w:pPr>
            <w:r>
              <w:rPr>
                <w:rFonts w:ascii="Times New Roman" w:hAnsi="Times New Roman"/>
                <w:b/>
                <w:bCs/>
                <w:kern w:val="0"/>
                <w:szCs w:val="21"/>
              </w:rPr>
              <w:t>技术指标</w:t>
            </w:r>
          </w:p>
        </w:tc>
      </w:tr>
      <w:tr w:rsidR="000F57D3" w14:paraId="5CFF195E" w14:textId="77777777">
        <w:trPr>
          <w:trHeight w:val="1484"/>
        </w:trPr>
        <w:tc>
          <w:tcPr>
            <w:tcW w:w="1002" w:type="dxa"/>
            <w:vMerge w:val="restart"/>
            <w:vAlign w:val="center"/>
          </w:tcPr>
          <w:p w14:paraId="5DEA7D7C" w14:textId="77777777" w:rsidR="000F57D3" w:rsidRDefault="00744446">
            <w:pPr>
              <w:widowControl/>
              <w:spacing w:line="360" w:lineRule="auto"/>
              <w:jc w:val="center"/>
              <w:rPr>
                <w:rFonts w:ascii="Times New Roman" w:hAnsi="Times New Roman"/>
                <w:b/>
                <w:bCs/>
                <w:kern w:val="0"/>
                <w:szCs w:val="21"/>
              </w:rPr>
            </w:pPr>
            <w:r>
              <w:rPr>
                <w:rFonts w:ascii="Times New Roman" w:hAnsi="Times New Roman"/>
                <w:b/>
                <w:bCs/>
                <w:kern w:val="0"/>
                <w:szCs w:val="21"/>
              </w:rPr>
              <w:t>1</w:t>
            </w:r>
          </w:p>
        </w:tc>
        <w:tc>
          <w:tcPr>
            <w:tcW w:w="1419" w:type="dxa"/>
            <w:vMerge w:val="restart"/>
            <w:vAlign w:val="center"/>
          </w:tcPr>
          <w:p w14:paraId="07DCF5DC" w14:textId="77777777" w:rsidR="000F57D3" w:rsidRDefault="00744446">
            <w:pPr>
              <w:widowControl/>
              <w:spacing w:line="360" w:lineRule="auto"/>
              <w:rPr>
                <w:rFonts w:ascii="Times New Roman" w:hAnsi="Times New Roman"/>
                <w:b/>
                <w:bCs/>
                <w:kern w:val="0"/>
                <w:szCs w:val="21"/>
              </w:rPr>
            </w:pPr>
            <w:r>
              <w:rPr>
                <w:rFonts w:ascii="宋体" w:eastAsia="宋体" w:hAnsi="宋体" w:cs="宋体" w:hint="eastAsia"/>
                <w:b/>
                <w:bCs/>
                <w:color w:val="000000"/>
                <w:kern w:val="0"/>
                <w:sz w:val="24"/>
                <w:szCs w:val="24"/>
                <w:lang w:bidi="ar"/>
              </w:rPr>
              <w:t>等级保护测评服务</w:t>
            </w:r>
          </w:p>
        </w:tc>
        <w:tc>
          <w:tcPr>
            <w:tcW w:w="6390" w:type="dxa"/>
          </w:tcPr>
          <w:p w14:paraId="42D0BD68" w14:textId="77777777" w:rsidR="000F57D3" w:rsidRDefault="00744446">
            <w:pPr>
              <w:spacing w:line="360" w:lineRule="auto"/>
              <w:rPr>
                <w:rFonts w:ascii="Times New Roman" w:hAnsi="Times New Roman"/>
                <w:b/>
                <w:bCs/>
                <w:kern w:val="0"/>
                <w:szCs w:val="21"/>
              </w:rPr>
            </w:pPr>
            <w:r>
              <w:rPr>
                <w:rFonts w:ascii="宋体" w:hAnsi="宋体" w:cs="宋体" w:hint="eastAsia"/>
                <w:sz w:val="24"/>
              </w:rPr>
              <w:t>参照国家等级保护2.0技术标准对我单位信息系统按照等级保护第二级标准开展测评和差距分析，出具整改意见和测评报告，完成系统定级专家评审工作，自合同签订之日起</w:t>
            </w:r>
            <w:r>
              <w:rPr>
                <w:rFonts w:ascii="宋体" w:hAnsi="宋体" w:cs="宋体" w:hint="eastAsia"/>
                <w:sz w:val="24"/>
              </w:rPr>
              <w:lastRenderedPageBreak/>
              <w:t xml:space="preserve">10个工作日内完成本次测评报告在网安部门的备案工作，并取得四个系统（网站综合、自动化办公、智慧三全APP及信息门户）有效的备案证明。     </w:t>
            </w:r>
            <w:r>
              <w:rPr>
                <w:rFonts w:ascii="Times New Roman" w:hAnsi="Times New Roman"/>
                <w:szCs w:val="21"/>
              </w:rPr>
              <w:t xml:space="preserve">   </w:t>
            </w:r>
          </w:p>
        </w:tc>
      </w:tr>
      <w:tr w:rsidR="000F57D3" w14:paraId="3D27CB59" w14:textId="77777777">
        <w:trPr>
          <w:trHeight w:val="4207"/>
        </w:trPr>
        <w:tc>
          <w:tcPr>
            <w:tcW w:w="1002" w:type="dxa"/>
            <w:vMerge/>
            <w:vAlign w:val="center"/>
          </w:tcPr>
          <w:p w14:paraId="417D1C24" w14:textId="77777777" w:rsidR="000F57D3" w:rsidRDefault="000F57D3">
            <w:pPr>
              <w:widowControl/>
              <w:spacing w:line="360" w:lineRule="auto"/>
              <w:jc w:val="center"/>
              <w:rPr>
                <w:rFonts w:ascii="Times New Roman" w:hAnsi="Times New Roman"/>
                <w:b/>
                <w:bCs/>
                <w:kern w:val="0"/>
                <w:szCs w:val="21"/>
              </w:rPr>
            </w:pPr>
          </w:p>
        </w:tc>
        <w:tc>
          <w:tcPr>
            <w:tcW w:w="1419" w:type="dxa"/>
            <w:vMerge/>
            <w:vAlign w:val="center"/>
          </w:tcPr>
          <w:p w14:paraId="77AD679E" w14:textId="77777777" w:rsidR="000F57D3" w:rsidRDefault="000F57D3">
            <w:pPr>
              <w:widowControl/>
              <w:spacing w:line="360" w:lineRule="auto"/>
              <w:jc w:val="center"/>
              <w:rPr>
                <w:rFonts w:ascii="Times New Roman" w:hAnsi="Times New Roman"/>
                <w:b/>
                <w:bCs/>
                <w:kern w:val="0"/>
                <w:szCs w:val="21"/>
              </w:rPr>
            </w:pPr>
          </w:p>
        </w:tc>
        <w:tc>
          <w:tcPr>
            <w:tcW w:w="6390" w:type="dxa"/>
          </w:tcPr>
          <w:p w14:paraId="526D10BC" w14:textId="77777777" w:rsidR="000F57D3" w:rsidRPr="00E82C05" w:rsidRDefault="00744446">
            <w:pPr>
              <w:spacing w:line="360" w:lineRule="auto"/>
              <w:rPr>
                <w:rFonts w:ascii="宋体" w:eastAsia="宋体" w:hAnsi="宋体" w:cs="宋体"/>
                <w:sz w:val="24"/>
              </w:rPr>
            </w:pPr>
            <w:r>
              <w:rPr>
                <w:rFonts w:ascii="宋体" w:eastAsia="宋体" w:hAnsi="宋体" w:cs="宋体" w:hint="eastAsia"/>
                <w:sz w:val="24"/>
              </w:rPr>
              <w:t>要求与</w:t>
            </w:r>
            <w:bookmarkStart w:id="5" w:name="_Hlk90398545"/>
            <w:r>
              <w:rPr>
                <w:rFonts w:ascii="宋体" w:eastAsia="宋体" w:hAnsi="宋体" w:cs="宋体" w:hint="eastAsia"/>
                <w:sz w:val="24"/>
              </w:rPr>
              <w:t>《信息安全等级保护管理办法》（公通字[2007]43号）</w:t>
            </w:r>
            <w:bookmarkEnd w:id="5"/>
            <w:r>
              <w:rPr>
                <w:rFonts w:ascii="宋体" w:eastAsia="宋体" w:hAnsi="宋体" w:cs="宋体" w:hint="eastAsia"/>
                <w:sz w:val="24"/>
              </w:rPr>
              <w:t>、</w:t>
            </w:r>
            <w:bookmarkStart w:id="6" w:name="_Hlk90398554"/>
            <w:r>
              <w:rPr>
                <w:rFonts w:ascii="宋体" w:eastAsia="宋体" w:hAnsi="宋体" w:cs="宋体" w:hint="eastAsia"/>
                <w:sz w:val="24"/>
              </w:rPr>
              <w:t>《信息安全技术 网络安全等级保护实施指南》</w:t>
            </w:r>
            <w:bookmarkEnd w:id="6"/>
            <w:r>
              <w:rPr>
                <w:rFonts w:ascii="宋体" w:eastAsia="宋体" w:hAnsi="宋体" w:cs="宋体" w:hint="eastAsia"/>
                <w:sz w:val="24"/>
              </w:rPr>
              <w:t>和</w:t>
            </w:r>
            <w:bookmarkStart w:id="7" w:name="_Hlk90398569"/>
            <w:r>
              <w:rPr>
                <w:rFonts w:ascii="宋体" w:eastAsia="宋体" w:hAnsi="宋体" w:cs="宋体" w:hint="eastAsia"/>
                <w:sz w:val="24"/>
              </w:rPr>
              <w:t>《信息安全等级保护安全建设整改工作指导意见》（公信安[2009]1429号）</w:t>
            </w:r>
            <w:bookmarkEnd w:id="7"/>
            <w:r>
              <w:rPr>
                <w:rFonts w:ascii="宋体" w:eastAsia="宋体" w:hAnsi="宋体" w:cs="宋体" w:hint="eastAsia"/>
                <w:sz w:val="24"/>
              </w:rPr>
              <w:t>（含附件）等公安部信息安全等级保护系列文件要求保持一致。</w:t>
            </w:r>
          </w:p>
        </w:tc>
      </w:tr>
      <w:tr w:rsidR="000F57D3" w14:paraId="78691122" w14:textId="77777777">
        <w:trPr>
          <w:trHeight w:val="1976"/>
        </w:trPr>
        <w:tc>
          <w:tcPr>
            <w:tcW w:w="1002" w:type="dxa"/>
            <w:vMerge/>
            <w:vAlign w:val="center"/>
          </w:tcPr>
          <w:p w14:paraId="3AB0E103" w14:textId="77777777" w:rsidR="000F57D3" w:rsidRDefault="000F57D3">
            <w:pPr>
              <w:widowControl/>
              <w:spacing w:line="360" w:lineRule="auto"/>
              <w:jc w:val="center"/>
              <w:rPr>
                <w:rFonts w:ascii="Times New Roman" w:hAnsi="Times New Roman"/>
                <w:b/>
                <w:bCs/>
                <w:kern w:val="0"/>
                <w:szCs w:val="21"/>
              </w:rPr>
            </w:pPr>
          </w:p>
        </w:tc>
        <w:tc>
          <w:tcPr>
            <w:tcW w:w="1419" w:type="dxa"/>
            <w:vMerge/>
            <w:vAlign w:val="center"/>
          </w:tcPr>
          <w:p w14:paraId="2EB4F51A" w14:textId="77777777" w:rsidR="000F57D3" w:rsidRDefault="000F57D3">
            <w:pPr>
              <w:widowControl/>
              <w:spacing w:line="360" w:lineRule="auto"/>
              <w:jc w:val="center"/>
              <w:rPr>
                <w:rFonts w:ascii="Times New Roman" w:hAnsi="Times New Roman"/>
                <w:b/>
                <w:bCs/>
                <w:kern w:val="0"/>
                <w:szCs w:val="21"/>
              </w:rPr>
            </w:pPr>
          </w:p>
        </w:tc>
        <w:tc>
          <w:tcPr>
            <w:tcW w:w="6390" w:type="dxa"/>
          </w:tcPr>
          <w:p w14:paraId="6F2BA515" w14:textId="77777777" w:rsidR="000F57D3" w:rsidRDefault="00744446">
            <w:pPr>
              <w:spacing w:line="360" w:lineRule="auto"/>
              <w:rPr>
                <w:rFonts w:ascii="Times New Roman" w:hAnsi="Times New Roman"/>
                <w:b/>
                <w:bCs/>
                <w:kern w:val="0"/>
                <w:szCs w:val="21"/>
              </w:rPr>
            </w:pPr>
            <w:r>
              <w:rPr>
                <w:rFonts w:ascii="宋体" w:eastAsia="宋体" w:hAnsi="宋体" w:cs="宋体" w:hint="eastAsia"/>
                <w:sz w:val="24"/>
              </w:rPr>
              <w:t>要求测评包括IT网络设备、主机系统、应用系统、安全设备等。具体安全技术测评包含安全物理环境、安全通信网络、安全区域边界、安全计算环境和安全管理中心等五个层面；安全管理测评包括：安全管理机构、安全管理制度、安全管理人员、安全建设管理和安全运维管理等方面的安全控制测评对10个大类进行测评。</w:t>
            </w:r>
          </w:p>
        </w:tc>
      </w:tr>
      <w:tr w:rsidR="000F57D3" w14:paraId="4496FAE1" w14:textId="77777777">
        <w:trPr>
          <w:trHeight w:val="519"/>
        </w:trPr>
        <w:tc>
          <w:tcPr>
            <w:tcW w:w="1002" w:type="dxa"/>
            <w:vMerge/>
            <w:vAlign w:val="center"/>
          </w:tcPr>
          <w:p w14:paraId="71C344F4" w14:textId="77777777" w:rsidR="000F57D3" w:rsidRDefault="000F57D3">
            <w:pPr>
              <w:widowControl/>
              <w:spacing w:line="360" w:lineRule="auto"/>
              <w:jc w:val="center"/>
              <w:rPr>
                <w:rFonts w:ascii="Times New Roman" w:hAnsi="Times New Roman"/>
                <w:b/>
                <w:bCs/>
                <w:kern w:val="0"/>
                <w:szCs w:val="21"/>
              </w:rPr>
            </w:pPr>
          </w:p>
        </w:tc>
        <w:tc>
          <w:tcPr>
            <w:tcW w:w="1419" w:type="dxa"/>
            <w:vMerge/>
            <w:vAlign w:val="center"/>
          </w:tcPr>
          <w:p w14:paraId="6B392B5D" w14:textId="77777777" w:rsidR="000F57D3" w:rsidRDefault="000F57D3">
            <w:pPr>
              <w:widowControl/>
              <w:spacing w:line="360" w:lineRule="auto"/>
              <w:jc w:val="center"/>
              <w:rPr>
                <w:rFonts w:ascii="Times New Roman" w:hAnsi="Times New Roman"/>
                <w:b/>
                <w:bCs/>
                <w:kern w:val="0"/>
                <w:szCs w:val="21"/>
              </w:rPr>
            </w:pPr>
          </w:p>
        </w:tc>
        <w:tc>
          <w:tcPr>
            <w:tcW w:w="6390" w:type="dxa"/>
          </w:tcPr>
          <w:p w14:paraId="0B419031" w14:textId="77777777" w:rsidR="000F57D3" w:rsidRDefault="00744446">
            <w:pPr>
              <w:spacing w:line="360" w:lineRule="auto"/>
              <w:rPr>
                <w:rFonts w:ascii="宋体" w:eastAsia="宋体" w:hAnsi="宋体" w:cs="宋体"/>
                <w:sz w:val="24"/>
              </w:rPr>
            </w:pPr>
            <w:r>
              <w:rPr>
                <w:rFonts w:ascii="宋体" w:eastAsia="宋体" w:hAnsi="宋体" w:cs="宋体" w:hint="eastAsia"/>
                <w:sz w:val="24"/>
              </w:rPr>
              <w:t>在网络与信息安全专项保障和检查工作时，排查网络边界、数据、应用安全，确保重要网络和应用系统运行正常。</w:t>
            </w:r>
          </w:p>
          <w:p w14:paraId="6D454F96" w14:textId="77777777" w:rsidR="000F57D3" w:rsidRDefault="00744446">
            <w:pPr>
              <w:spacing w:line="360" w:lineRule="auto"/>
              <w:rPr>
                <w:rFonts w:ascii="宋体" w:eastAsia="宋体" w:hAnsi="宋体" w:cs="宋体"/>
                <w:sz w:val="24"/>
              </w:rPr>
            </w:pPr>
            <w:r>
              <w:rPr>
                <w:rFonts w:ascii="宋体" w:eastAsia="宋体" w:hAnsi="宋体" w:cs="宋体" w:hint="eastAsia"/>
                <w:sz w:val="24"/>
              </w:rPr>
              <w:t>对信息系统进行日志分析，形成每日攻击分析报告，针对网络中存在的高风险攻击行为进行影响分析，制定防范措施。</w:t>
            </w:r>
          </w:p>
          <w:p w14:paraId="170B18A4" w14:textId="77777777" w:rsidR="000F57D3" w:rsidRDefault="00744446">
            <w:pPr>
              <w:spacing w:line="360" w:lineRule="auto"/>
              <w:rPr>
                <w:rFonts w:ascii="宋体" w:eastAsia="宋体" w:hAnsi="宋体" w:cs="宋体"/>
                <w:sz w:val="24"/>
              </w:rPr>
            </w:pPr>
            <w:r>
              <w:rPr>
                <w:rFonts w:ascii="宋体" w:eastAsia="宋体" w:hAnsi="宋体" w:cs="宋体" w:hint="eastAsia"/>
                <w:sz w:val="24"/>
              </w:rPr>
              <w:t>跟踪收集最新的安全通告，漏洞通告、病毒通告等，针对系统漏洞及攻击情报协助对网络及主机进行安全加固工作。</w:t>
            </w:r>
          </w:p>
          <w:p w14:paraId="1FBD1BD4" w14:textId="77777777" w:rsidR="000F57D3" w:rsidRDefault="00744446">
            <w:pPr>
              <w:spacing w:line="360" w:lineRule="auto"/>
              <w:rPr>
                <w:rFonts w:ascii="宋体" w:eastAsia="宋体" w:hAnsi="宋体" w:cs="宋体"/>
                <w:sz w:val="24"/>
              </w:rPr>
            </w:pPr>
            <w:r>
              <w:rPr>
                <w:rFonts w:ascii="宋体" w:eastAsia="宋体" w:hAnsi="宋体" w:cs="宋体" w:hint="eastAsia"/>
                <w:sz w:val="24"/>
              </w:rPr>
              <w:t>针对网络安全类突发事件进行应急响应，快速处置及恢复。</w:t>
            </w:r>
          </w:p>
          <w:p w14:paraId="34E15C19" w14:textId="77777777" w:rsidR="000F57D3" w:rsidRDefault="00744446">
            <w:pPr>
              <w:spacing w:line="360" w:lineRule="auto"/>
              <w:rPr>
                <w:rFonts w:ascii="Times New Roman" w:hAnsi="Times New Roman"/>
                <w:szCs w:val="21"/>
              </w:rPr>
            </w:pPr>
            <w:r>
              <w:rPr>
                <w:rFonts w:ascii="宋体" w:eastAsia="宋体" w:hAnsi="宋体" w:cs="宋体" w:hint="eastAsia"/>
                <w:sz w:val="24"/>
              </w:rPr>
              <w:t>对整体网络和信息系统进行实时保障，形成科学、有效、反应迅速的应急工作机制，确保特殊时期重要信息系统的实体安全、运行安全和数据安全，最大限度地减轻网络与信息安全突发事件的可能。</w:t>
            </w:r>
          </w:p>
        </w:tc>
      </w:tr>
      <w:tr w:rsidR="000F57D3" w14:paraId="1DEC6BCC" w14:textId="77777777">
        <w:trPr>
          <w:trHeight w:val="501"/>
        </w:trPr>
        <w:tc>
          <w:tcPr>
            <w:tcW w:w="1002" w:type="dxa"/>
            <w:vMerge/>
            <w:vAlign w:val="center"/>
          </w:tcPr>
          <w:p w14:paraId="6F2374BC" w14:textId="77777777" w:rsidR="000F57D3" w:rsidRDefault="000F57D3">
            <w:pPr>
              <w:widowControl/>
              <w:spacing w:line="360" w:lineRule="auto"/>
              <w:jc w:val="center"/>
              <w:rPr>
                <w:rFonts w:ascii="Times New Roman" w:hAnsi="Times New Roman"/>
                <w:b/>
                <w:bCs/>
                <w:kern w:val="0"/>
                <w:szCs w:val="21"/>
              </w:rPr>
            </w:pPr>
          </w:p>
        </w:tc>
        <w:tc>
          <w:tcPr>
            <w:tcW w:w="1419" w:type="dxa"/>
            <w:vMerge/>
            <w:vAlign w:val="center"/>
          </w:tcPr>
          <w:p w14:paraId="3E4238D3" w14:textId="77777777" w:rsidR="000F57D3" w:rsidRDefault="000F57D3">
            <w:pPr>
              <w:widowControl/>
              <w:spacing w:line="360" w:lineRule="auto"/>
              <w:jc w:val="center"/>
              <w:rPr>
                <w:rFonts w:ascii="Times New Roman" w:hAnsi="Times New Roman"/>
                <w:b/>
                <w:bCs/>
                <w:kern w:val="0"/>
                <w:szCs w:val="21"/>
              </w:rPr>
            </w:pPr>
          </w:p>
        </w:tc>
        <w:tc>
          <w:tcPr>
            <w:tcW w:w="6390" w:type="dxa"/>
          </w:tcPr>
          <w:p w14:paraId="0D8AB91E" w14:textId="77777777" w:rsidR="000F57D3" w:rsidRDefault="00744446">
            <w:pPr>
              <w:spacing w:line="360" w:lineRule="auto"/>
              <w:rPr>
                <w:rFonts w:ascii="Times New Roman" w:hAnsi="Times New Roman"/>
                <w:b/>
                <w:bCs/>
                <w:kern w:val="0"/>
                <w:szCs w:val="21"/>
              </w:rPr>
            </w:pPr>
            <w:r>
              <w:rPr>
                <w:rFonts w:ascii="宋体" w:eastAsia="宋体" w:hAnsi="宋体" w:cs="宋体" w:hint="eastAsia"/>
                <w:sz w:val="24"/>
              </w:rPr>
              <w:t>★交付物：信息系统等级保护测评报告</w:t>
            </w:r>
            <w:r>
              <w:rPr>
                <w:rFonts w:ascii="宋体" w:hAnsi="宋体" w:cs="宋体" w:hint="eastAsia"/>
                <w:sz w:val="24"/>
              </w:rPr>
              <w:t>。</w:t>
            </w:r>
          </w:p>
        </w:tc>
      </w:tr>
      <w:tr w:rsidR="000F57D3" w14:paraId="7FF3945B" w14:textId="77777777">
        <w:trPr>
          <w:trHeight w:val="3451"/>
        </w:trPr>
        <w:tc>
          <w:tcPr>
            <w:tcW w:w="1002" w:type="dxa"/>
            <w:vMerge w:val="restart"/>
            <w:vAlign w:val="center"/>
          </w:tcPr>
          <w:p w14:paraId="11F037EB" w14:textId="77777777" w:rsidR="000F57D3" w:rsidRDefault="00744446">
            <w:pPr>
              <w:widowControl/>
              <w:spacing w:line="360" w:lineRule="auto"/>
              <w:jc w:val="center"/>
              <w:rPr>
                <w:rFonts w:ascii="Times New Roman" w:eastAsia="微软雅黑" w:hAnsi="Times New Roman"/>
                <w:b/>
                <w:bCs/>
                <w:kern w:val="0"/>
                <w:szCs w:val="21"/>
              </w:rPr>
            </w:pPr>
            <w:r>
              <w:rPr>
                <w:rFonts w:ascii="Times New Roman" w:hAnsi="Times New Roman" w:hint="eastAsia"/>
                <w:b/>
                <w:bCs/>
                <w:kern w:val="0"/>
                <w:szCs w:val="21"/>
              </w:rPr>
              <w:t>2</w:t>
            </w:r>
          </w:p>
        </w:tc>
        <w:tc>
          <w:tcPr>
            <w:tcW w:w="1419" w:type="dxa"/>
            <w:vMerge w:val="restart"/>
            <w:vAlign w:val="center"/>
          </w:tcPr>
          <w:p w14:paraId="479DFECC" w14:textId="77777777" w:rsidR="000F57D3" w:rsidRDefault="00744446">
            <w:pPr>
              <w:widowControl/>
              <w:spacing w:line="360" w:lineRule="auto"/>
              <w:jc w:val="center"/>
              <w:rPr>
                <w:rFonts w:ascii="Times New Roman" w:hAnsi="Times New Roman"/>
                <w:b/>
                <w:bCs/>
                <w:kern w:val="0"/>
                <w:szCs w:val="21"/>
              </w:rPr>
            </w:pPr>
            <w:r>
              <w:rPr>
                <w:rFonts w:ascii="宋体" w:eastAsia="宋体" w:hAnsi="宋体" w:cs="宋体" w:hint="eastAsia"/>
                <w:b/>
                <w:bCs/>
                <w:color w:val="000000"/>
                <w:kern w:val="0"/>
                <w:sz w:val="24"/>
                <w:szCs w:val="24"/>
                <w:lang w:bidi="ar"/>
              </w:rPr>
              <w:t>渗透测试服务</w:t>
            </w:r>
          </w:p>
        </w:tc>
        <w:tc>
          <w:tcPr>
            <w:tcW w:w="6390" w:type="dxa"/>
          </w:tcPr>
          <w:p w14:paraId="1344BC71" w14:textId="77777777" w:rsidR="000F57D3" w:rsidRDefault="00744446">
            <w:pPr>
              <w:spacing w:line="360" w:lineRule="auto"/>
              <w:rPr>
                <w:rFonts w:ascii="宋体" w:eastAsia="宋体" w:hAnsi="宋体" w:cs="宋体"/>
                <w:sz w:val="24"/>
              </w:rPr>
            </w:pPr>
            <w:r>
              <w:rPr>
                <w:rFonts w:ascii="宋体" w:eastAsia="宋体" w:hAnsi="宋体" w:cs="宋体" w:hint="eastAsia"/>
                <w:sz w:val="24"/>
              </w:rPr>
              <w:t>针对等保测评系统由安全工程师现场部署渗透环境，通过真实模拟黑客使用的工具、分析方法来对网站进行模拟攻击，并结合智能工具扫描结果，进行深入的人工测试和分析，识别工具弱点扫描无法发现的问题，主要分析内容包括逻辑缺陷、上传绕过、输入输出校验绕过、数据篡改、功能绕过、异常错误等以及其他专项内容测试与分析。</w:t>
            </w:r>
          </w:p>
          <w:p w14:paraId="4EFDF6D8" w14:textId="77777777" w:rsidR="000F57D3" w:rsidRDefault="00744446">
            <w:pPr>
              <w:spacing w:line="360" w:lineRule="auto"/>
              <w:rPr>
                <w:rFonts w:ascii="宋体" w:eastAsia="宋体" w:hAnsi="宋体" w:cs="宋体"/>
                <w:sz w:val="24"/>
              </w:rPr>
            </w:pPr>
            <w:r>
              <w:rPr>
                <w:rFonts w:ascii="宋体" w:eastAsia="宋体" w:hAnsi="宋体" w:cs="宋体" w:hint="eastAsia"/>
                <w:sz w:val="24"/>
              </w:rPr>
              <w:t>渗透测试后出具正式的分析报告和解决方案，针对渗透测试出的问题、漏洞、缺陷等，完成整改及后续验证工作，每项渗透内容报告需要包括问题整改和验证的过程记录及详细的解决方案。</w:t>
            </w:r>
          </w:p>
        </w:tc>
      </w:tr>
      <w:tr w:rsidR="000F57D3" w14:paraId="44B5EE9A" w14:textId="77777777">
        <w:trPr>
          <w:trHeight w:val="511"/>
        </w:trPr>
        <w:tc>
          <w:tcPr>
            <w:tcW w:w="1002" w:type="dxa"/>
            <w:vMerge/>
            <w:vAlign w:val="center"/>
          </w:tcPr>
          <w:p w14:paraId="3E8F69BC" w14:textId="77777777" w:rsidR="000F57D3" w:rsidRDefault="000F57D3">
            <w:pPr>
              <w:widowControl/>
              <w:spacing w:line="360" w:lineRule="auto"/>
              <w:jc w:val="center"/>
              <w:rPr>
                <w:rFonts w:ascii="Times New Roman" w:hAnsi="Times New Roman"/>
                <w:b/>
                <w:bCs/>
                <w:kern w:val="0"/>
                <w:szCs w:val="21"/>
              </w:rPr>
            </w:pPr>
          </w:p>
        </w:tc>
        <w:tc>
          <w:tcPr>
            <w:tcW w:w="1419" w:type="dxa"/>
            <w:vMerge/>
            <w:vAlign w:val="center"/>
          </w:tcPr>
          <w:p w14:paraId="1ED822BF" w14:textId="77777777" w:rsidR="000F57D3" w:rsidRDefault="000F57D3">
            <w:pPr>
              <w:widowControl/>
              <w:spacing w:line="360" w:lineRule="auto"/>
              <w:jc w:val="center"/>
              <w:rPr>
                <w:rFonts w:ascii="Times New Roman" w:hAnsi="Times New Roman"/>
                <w:b/>
                <w:bCs/>
                <w:kern w:val="0"/>
                <w:szCs w:val="21"/>
              </w:rPr>
            </w:pPr>
          </w:p>
        </w:tc>
        <w:tc>
          <w:tcPr>
            <w:tcW w:w="6390" w:type="dxa"/>
          </w:tcPr>
          <w:p w14:paraId="64B9BDDF" w14:textId="77777777" w:rsidR="000F57D3" w:rsidRDefault="00744446">
            <w:pPr>
              <w:spacing w:line="360" w:lineRule="auto"/>
              <w:rPr>
                <w:rFonts w:ascii="宋体" w:eastAsia="宋体" w:hAnsi="宋体" w:cs="宋体"/>
                <w:sz w:val="24"/>
              </w:rPr>
            </w:pPr>
            <w:r>
              <w:rPr>
                <w:rFonts w:ascii="宋体" w:eastAsia="宋体" w:hAnsi="宋体" w:cs="宋体" w:hint="eastAsia"/>
                <w:sz w:val="24"/>
              </w:rPr>
              <w:t>★交付物：渗透测试报告</w:t>
            </w:r>
          </w:p>
        </w:tc>
      </w:tr>
      <w:tr w:rsidR="000F57D3" w14:paraId="46169D5D" w14:textId="77777777">
        <w:trPr>
          <w:trHeight w:val="511"/>
        </w:trPr>
        <w:tc>
          <w:tcPr>
            <w:tcW w:w="1002" w:type="dxa"/>
            <w:vAlign w:val="center"/>
          </w:tcPr>
          <w:p w14:paraId="128F5494" w14:textId="77777777" w:rsidR="000F57D3" w:rsidRDefault="00744446">
            <w:pPr>
              <w:widowControl/>
              <w:spacing w:line="360" w:lineRule="auto"/>
              <w:jc w:val="center"/>
              <w:rPr>
                <w:rFonts w:ascii="Times New Roman" w:eastAsia="宋体" w:hAnsi="Times New Roman"/>
                <w:b/>
                <w:bCs/>
                <w:kern w:val="0"/>
                <w:szCs w:val="21"/>
              </w:rPr>
            </w:pPr>
            <w:r>
              <w:rPr>
                <w:rFonts w:ascii="Times New Roman" w:hAnsi="Times New Roman" w:hint="eastAsia"/>
                <w:b/>
                <w:bCs/>
                <w:kern w:val="0"/>
                <w:szCs w:val="21"/>
              </w:rPr>
              <w:t>3</w:t>
            </w:r>
          </w:p>
        </w:tc>
        <w:tc>
          <w:tcPr>
            <w:tcW w:w="1419" w:type="dxa"/>
            <w:vAlign w:val="center"/>
          </w:tcPr>
          <w:p w14:paraId="1FAC61F2" w14:textId="77777777" w:rsidR="000F57D3" w:rsidRDefault="00744446">
            <w:pPr>
              <w:widowControl/>
              <w:spacing w:line="360" w:lineRule="auto"/>
              <w:jc w:val="center"/>
              <w:rPr>
                <w:rFonts w:ascii="Times New Roman" w:eastAsia="宋体" w:hAnsi="Times New Roman"/>
                <w:b/>
                <w:bCs/>
                <w:kern w:val="0"/>
                <w:szCs w:val="21"/>
              </w:rPr>
            </w:pPr>
            <w:r>
              <w:rPr>
                <w:rFonts w:ascii="宋体" w:hAnsi="宋体" w:cs="宋体" w:hint="eastAsia"/>
                <w:b/>
                <w:bCs/>
                <w:color w:val="000000"/>
                <w:kern w:val="0"/>
                <w:sz w:val="24"/>
                <w:szCs w:val="24"/>
                <w:lang w:bidi="ar"/>
              </w:rPr>
              <w:t>漏洞扫描</w:t>
            </w:r>
            <w:r>
              <w:rPr>
                <w:rFonts w:ascii="宋体" w:eastAsia="宋体" w:hAnsi="宋体" w:cs="宋体" w:hint="eastAsia"/>
                <w:b/>
                <w:bCs/>
                <w:color w:val="000000"/>
                <w:kern w:val="0"/>
                <w:sz w:val="24"/>
                <w:szCs w:val="24"/>
                <w:lang w:bidi="ar"/>
              </w:rPr>
              <w:t>服务</w:t>
            </w:r>
          </w:p>
        </w:tc>
        <w:tc>
          <w:tcPr>
            <w:tcW w:w="6390" w:type="dxa"/>
          </w:tcPr>
          <w:p w14:paraId="333652E3" w14:textId="77777777" w:rsidR="000F57D3" w:rsidRDefault="00744446">
            <w:pPr>
              <w:spacing w:line="360" w:lineRule="auto"/>
              <w:rPr>
                <w:rFonts w:ascii="Times New Roman" w:hAnsi="Times New Roman"/>
                <w:szCs w:val="21"/>
              </w:rPr>
            </w:pPr>
            <w:r>
              <w:rPr>
                <w:rFonts w:ascii="宋体" w:eastAsia="宋体" w:hAnsi="宋体" w:cs="宋体"/>
                <w:sz w:val="24"/>
              </w:rPr>
              <w:t>对</w:t>
            </w:r>
            <w:r>
              <w:rPr>
                <w:rFonts w:ascii="宋体" w:eastAsia="宋体" w:hAnsi="宋体" w:cs="宋体" w:hint="eastAsia"/>
                <w:sz w:val="24"/>
              </w:rPr>
              <w:t>被测</w:t>
            </w:r>
            <w:r>
              <w:rPr>
                <w:rFonts w:ascii="宋体" w:eastAsia="宋体" w:hAnsi="宋体" w:cs="宋体"/>
                <w:sz w:val="24"/>
              </w:rPr>
              <w:t>信息系统所涉及的主机服务器及相关网络设备、操作系统、数据库等进行安全漏洞扫描，收集漏洞扫描的结果，并通过人工</w:t>
            </w:r>
            <w:r>
              <w:rPr>
                <w:rFonts w:ascii="宋体" w:eastAsia="宋体" w:hAnsi="宋体" w:cs="宋体" w:hint="eastAsia"/>
                <w:sz w:val="24"/>
              </w:rPr>
              <w:t>验证</w:t>
            </w:r>
            <w:r>
              <w:rPr>
                <w:rFonts w:ascii="宋体" w:eastAsia="宋体" w:hAnsi="宋体" w:cs="宋体"/>
                <w:sz w:val="24"/>
              </w:rPr>
              <w:t>掌握系统安全现状并提出漏洞分析报告。具体包括漏洞扫描、漏洞修补、漏洞复查等，确保漏洞管理工作实现从“漏洞发现”到“漏洞治理”的集中防护转变。</w:t>
            </w:r>
          </w:p>
        </w:tc>
      </w:tr>
      <w:tr w:rsidR="000F57D3" w14:paraId="2F932460" w14:textId="77777777">
        <w:trPr>
          <w:trHeight w:val="511"/>
        </w:trPr>
        <w:tc>
          <w:tcPr>
            <w:tcW w:w="1002" w:type="dxa"/>
            <w:vAlign w:val="center"/>
          </w:tcPr>
          <w:p w14:paraId="6C9FDCE3" w14:textId="77777777" w:rsidR="000F57D3" w:rsidRDefault="000F57D3">
            <w:pPr>
              <w:widowControl/>
              <w:spacing w:line="360" w:lineRule="auto"/>
              <w:jc w:val="center"/>
              <w:rPr>
                <w:rFonts w:ascii="Times New Roman" w:hAnsi="Times New Roman"/>
                <w:b/>
                <w:bCs/>
                <w:kern w:val="0"/>
                <w:szCs w:val="21"/>
              </w:rPr>
            </w:pPr>
          </w:p>
        </w:tc>
        <w:tc>
          <w:tcPr>
            <w:tcW w:w="1419" w:type="dxa"/>
            <w:vAlign w:val="center"/>
          </w:tcPr>
          <w:p w14:paraId="4BE9E414" w14:textId="77777777" w:rsidR="000F57D3" w:rsidRDefault="000F57D3">
            <w:pPr>
              <w:widowControl/>
              <w:spacing w:line="360" w:lineRule="auto"/>
              <w:jc w:val="center"/>
              <w:rPr>
                <w:rFonts w:ascii="宋体" w:eastAsia="宋体" w:hAnsi="宋体" w:cs="宋体"/>
                <w:b/>
                <w:bCs/>
                <w:color w:val="000000"/>
                <w:kern w:val="0"/>
                <w:sz w:val="24"/>
                <w:szCs w:val="24"/>
                <w:lang w:bidi="ar"/>
              </w:rPr>
            </w:pPr>
          </w:p>
        </w:tc>
        <w:tc>
          <w:tcPr>
            <w:tcW w:w="6390" w:type="dxa"/>
          </w:tcPr>
          <w:p w14:paraId="66DFB798" w14:textId="77777777" w:rsidR="000F57D3" w:rsidRDefault="00744446">
            <w:pPr>
              <w:spacing w:line="360" w:lineRule="auto"/>
              <w:rPr>
                <w:rFonts w:ascii="Times New Roman" w:eastAsia="宋体" w:hAnsi="Times New Roman"/>
                <w:szCs w:val="21"/>
              </w:rPr>
            </w:pPr>
            <w:r>
              <w:rPr>
                <w:rFonts w:ascii="宋体" w:eastAsia="宋体" w:hAnsi="宋体" w:cs="宋体" w:hint="eastAsia"/>
                <w:sz w:val="24"/>
              </w:rPr>
              <w:t>★交付物：</w:t>
            </w:r>
            <w:r>
              <w:rPr>
                <w:rFonts w:ascii="宋体" w:hAnsi="宋体" w:cs="宋体" w:hint="eastAsia"/>
                <w:sz w:val="24"/>
              </w:rPr>
              <w:t>漏洞扫描</w:t>
            </w:r>
            <w:r>
              <w:rPr>
                <w:rFonts w:ascii="宋体" w:eastAsia="宋体" w:hAnsi="宋体" w:cs="宋体" w:hint="eastAsia"/>
                <w:sz w:val="24"/>
              </w:rPr>
              <w:t>报告</w:t>
            </w:r>
          </w:p>
        </w:tc>
      </w:tr>
      <w:tr w:rsidR="000F57D3" w14:paraId="1099BFB7" w14:textId="77777777">
        <w:trPr>
          <w:trHeight w:val="511"/>
        </w:trPr>
        <w:tc>
          <w:tcPr>
            <w:tcW w:w="1002" w:type="dxa"/>
            <w:vAlign w:val="center"/>
          </w:tcPr>
          <w:p w14:paraId="3AE74EC4" w14:textId="77777777" w:rsidR="000F57D3" w:rsidRDefault="00744446">
            <w:pPr>
              <w:widowControl/>
              <w:spacing w:line="360" w:lineRule="auto"/>
              <w:jc w:val="center"/>
              <w:rPr>
                <w:rFonts w:ascii="Times New Roman" w:hAnsi="Times New Roman"/>
                <w:b/>
                <w:bCs/>
                <w:kern w:val="0"/>
                <w:szCs w:val="21"/>
              </w:rPr>
            </w:pPr>
            <w:r>
              <w:rPr>
                <w:rFonts w:hint="eastAsia"/>
                <w:b/>
                <w:bCs/>
                <w:kern w:val="0"/>
                <w:szCs w:val="21"/>
              </w:rPr>
              <w:t>4</w:t>
            </w:r>
          </w:p>
        </w:tc>
        <w:tc>
          <w:tcPr>
            <w:tcW w:w="1419" w:type="dxa"/>
            <w:vAlign w:val="center"/>
          </w:tcPr>
          <w:p w14:paraId="56C59184" w14:textId="77777777" w:rsidR="000F57D3" w:rsidRDefault="00744446">
            <w:pPr>
              <w:widowControl/>
              <w:spacing w:line="360" w:lineRule="auto"/>
              <w:jc w:val="center"/>
              <w:rPr>
                <w:rFonts w:ascii="宋体" w:eastAsia="宋体" w:hAnsi="宋体" w:cs="宋体"/>
                <w:b/>
                <w:bCs/>
                <w:color w:val="000000"/>
                <w:kern w:val="0"/>
                <w:sz w:val="24"/>
                <w:szCs w:val="24"/>
                <w:lang w:bidi="ar"/>
              </w:rPr>
            </w:pPr>
            <w:r>
              <w:rPr>
                <w:rFonts w:ascii="宋体" w:hAnsi="宋体" w:cs="宋体" w:hint="eastAsia"/>
                <w:b/>
                <w:bCs/>
                <w:color w:val="000000"/>
                <w:kern w:val="0"/>
                <w:sz w:val="24"/>
                <w:szCs w:val="24"/>
                <w:lang w:bidi="ar"/>
              </w:rPr>
              <w:t>网站检测服务</w:t>
            </w:r>
          </w:p>
        </w:tc>
        <w:tc>
          <w:tcPr>
            <w:tcW w:w="6390" w:type="dxa"/>
          </w:tcPr>
          <w:p w14:paraId="746C4666" w14:textId="77777777" w:rsidR="000F57D3" w:rsidRDefault="00744446">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定期检查网站可用性，模拟用户访问定期访问目标网站。如发现网站故障、无法建立连接、状态码非200或网页内容加载超过15秒时，触发告警机制</w:t>
            </w:r>
            <w:r>
              <w:rPr>
                <w:rFonts w:ascii="宋体" w:eastAsia="宋体" w:hAnsi="宋体" w:cs="宋体" w:hint="eastAsia"/>
                <w:sz w:val="24"/>
              </w:rPr>
              <w:t>；</w:t>
            </w:r>
            <w:r>
              <w:rPr>
                <w:rFonts w:ascii="宋体" w:eastAsia="宋体" w:hAnsi="宋体" w:cs="宋体"/>
                <w:sz w:val="24"/>
              </w:rPr>
              <w:t>可用性告警触发之后，应用会关闭3天内同网页相同类的告警，避免对用户产生过多的告警而造成打扰。如果这期间网站恢复了告警会重新开启可触发状态。</w:t>
            </w:r>
          </w:p>
          <w:p w14:paraId="78D5A1E6" w14:textId="77777777" w:rsidR="000F57D3" w:rsidRDefault="00744446">
            <w:pPr>
              <w:spacing w:line="360" w:lineRule="auto"/>
              <w:rPr>
                <w:rFonts w:ascii="宋体" w:eastAsia="宋体" w:hAnsi="宋体" w:cs="宋体"/>
                <w:sz w:val="24"/>
              </w:rPr>
            </w:pPr>
            <w:r>
              <w:rPr>
                <w:rFonts w:ascii="宋体" w:hAnsi="宋体" w:cs="宋体" w:hint="eastAsia"/>
                <w:sz w:val="24"/>
              </w:rPr>
              <w:t>2、</w:t>
            </w:r>
            <w:r>
              <w:rPr>
                <w:rFonts w:ascii="宋体" w:eastAsia="宋体" w:hAnsi="宋体" w:cs="宋体"/>
                <w:sz w:val="24"/>
              </w:rPr>
              <w:t>★网站监控成功后，将默认的网页内容设为正常状态。定期对比监测的网页内容与正常内容，如发现不一致，立即触发告警。保障网站稳定运行。★通过周期性的监控，持续对网站的文本内容进行检测，以保障网站的安全性和合规性。一旦检测到敏感关键字的存在，则发出告警。★提供多</w:t>
            </w:r>
            <w:r>
              <w:rPr>
                <w:rFonts w:ascii="宋体" w:eastAsia="宋体" w:hAnsi="宋体" w:cs="宋体"/>
                <w:sz w:val="24"/>
              </w:rPr>
              <w:lastRenderedPageBreak/>
              <w:t>个敏感词字典：内置字典、AI 智能检测引擎、自定义字典</w:t>
            </w:r>
            <w:r>
              <w:rPr>
                <w:rFonts w:ascii="宋体" w:eastAsia="宋体" w:hAnsi="宋体" w:cs="宋体" w:hint="eastAsia"/>
                <w:sz w:val="24"/>
              </w:rPr>
              <w:t>，</w:t>
            </w:r>
            <w:r>
              <w:rPr>
                <w:rFonts w:ascii="宋体" w:eastAsia="宋体" w:hAnsi="宋体" w:cs="宋体"/>
                <w:sz w:val="24"/>
              </w:rPr>
              <w:t>触发告警时会提供网页快照，且高亮关键字</w:t>
            </w:r>
            <w:r>
              <w:rPr>
                <w:rFonts w:ascii="宋体" w:eastAsia="宋体" w:hAnsi="宋体" w:cs="宋体" w:hint="eastAsia"/>
                <w:sz w:val="24"/>
              </w:rPr>
              <w:t>；</w:t>
            </w:r>
            <w:r>
              <w:rPr>
                <w:rFonts w:ascii="宋体" w:eastAsia="宋体" w:hAnsi="宋体" w:cs="宋体"/>
                <w:sz w:val="24"/>
              </w:rPr>
              <w:t>★发现网页中存在错链、坏链、异常友链等异常链接情况，则发出告警。★通过检测网站的文件和代码，识别潜在的挂马行为。一旦发现挂马现象，立即向用户发送告警通知。</w:t>
            </w:r>
          </w:p>
          <w:p w14:paraId="36B0F5A8" w14:textId="77777777" w:rsidR="000F57D3" w:rsidRDefault="00744446">
            <w:pPr>
              <w:spacing w:line="360" w:lineRule="auto"/>
              <w:rPr>
                <w:rFonts w:ascii="宋体" w:eastAsia="宋体" w:hAnsi="宋体" w:cs="宋体"/>
                <w:sz w:val="24"/>
              </w:rPr>
            </w:pPr>
            <w:r>
              <w:rPr>
                <w:rFonts w:ascii="宋体" w:eastAsia="宋体" w:hAnsi="宋体" w:cs="宋体" w:hint="eastAsia"/>
                <w:sz w:val="24"/>
              </w:rPr>
              <w:t>3、网站监测支持多种告警方式：站内信告警、邮箱告警、</w:t>
            </w:r>
            <w:r>
              <w:rPr>
                <w:rFonts w:ascii="宋体" w:eastAsia="宋体" w:hAnsi="宋体" w:cs="宋体"/>
                <w:sz w:val="24"/>
              </w:rPr>
              <w:t>★</w:t>
            </w:r>
            <w:r>
              <w:rPr>
                <w:rFonts w:ascii="宋体" w:eastAsia="宋体" w:hAnsi="宋体" w:cs="宋体" w:hint="eastAsia"/>
                <w:sz w:val="24"/>
              </w:rPr>
              <w:t>微信通知告警、</w:t>
            </w:r>
            <w:r>
              <w:rPr>
                <w:rFonts w:ascii="宋体" w:eastAsia="宋体" w:hAnsi="宋体" w:cs="宋体"/>
                <w:sz w:val="24"/>
              </w:rPr>
              <w:t>★</w:t>
            </w:r>
            <w:r>
              <w:rPr>
                <w:rFonts w:ascii="宋体" w:eastAsia="宋体" w:hAnsi="宋体" w:cs="宋体" w:hint="eastAsia"/>
                <w:sz w:val="24"/>
              </w:rPr>
              <w:t>钉钉机器人告警、</w:t>
            </w:r>
            <w:r>
              <w:rPr>
                <w:rFonts w:ascii="宋体" w:eastAsia="宋体" w:hAnsi="宋体" w:cs="宋体"/>
                <w:sz w:val="24"/>
              </w:rPr>
              <w:t>★</w:t>
            </w:r>
            <w:r>
              <w:rPr>
                <w:rFonts w:ascii="宋体" w:eastAsia="宋体" w:hAnsi="宋体" w:cs="宋体" w:hint="eastAsia"/>
                <w:sz w:val="24"/>
              </w:rPr>
              <w:t>企业微信机器人告警。</w:t>
            </w:r>
            <w:r>
              <w:rPr>
                <w:rFonts w:ascii="宋体" w:eastAsia="宋体" w:hAnsi="宋体" w:cs="宋体"/>
                <w:sz w:val="24"/>
              </w:rPr>
              <w:t>★通过检测网站的文件和代码，识别潜在的挂马行为。一旦发现挂马现象，立即向用户发送告警通知。★发现网页中存在错链、坏链、异常友链等异常链接情况，则发出告警。</w:t>
            </w:r>
          </w:p>
          <w:p w14:paraId="3DCD06AC" w14:textId="77777777" w:rsidR="000F57D3" w:rsidRDefault="00744446">
            <w:pPr>
              <w:spacing w:line="360" w:lineRule="auto"/>
              <w:rPr>
                <w:rFonts w:ascii="宋体" w:eastAsia="宋体" w:hAnsi="宋体" w:cs="宋体"/>
                <w:sz w:val="24"/>
              </w:rPr>
            </w:pPr>
            <w:r>
              <w:rPr>
                <w:rFonts w:ascii="宋体" w:eastAsia="宋体" w:hAnsi="宋体" w:cs="宋体"/>
                <w:sz w:val="24"/>
              </w:rPr>
              <w:t>★平台可自动生产监控周报，每周一自动生成上一周期（上周一 00:00:00至上周日 23:59:59 ）</w:t>
            </w:r>
          </w:p>
          <w:p w14:paraId="7D85C9C0" w14:textId="77777777" w:rsidR="000F57D3" w:rsidRDefault="000F57D3">
            <w:pPr>
              <w:spacing w:line="360" w:lineRule="auto"/>
              <w:rPr>
                <w:rFonts w:ascii="Source Han Serif CN" w:eastAsia="Source Han Serif CN" w:hAnsi="Source Han Serif CN" w:cs="Source Han Serif CN"/>
                <w:sz w:val="20"/>
              </w:rPr>
            </w:pPr>
          </w:p>
        </w:tc>
      </w:tr>
      <w:tr w:rsidR="000F57D3" w14:paraId="4817267F" w14:textId="77777777">
        <w:trPr>
          <w:trHeight w:val="1689"/>
        </w:trPr>
        <w:tc>
          <w:tcPr>
            <w:tcW w:w="1002" w:type="dxa"/>
            <w:vAlign w:val="center"/>
          </w:tcPr>
          <w:p w14:paraId="755C97C9" w14:textId="77777777" w:rsidR="000F57D3" w:rsidRDefault="00744446">
            <w:pPr>
              <w:widowControl/>
              <w:spacing w:line="360" w:lineRule="auto"/>
              <w:jc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5</w:t>
            </w:r>
          </w:p>
        </w:tc>
        <w:tc>
          <w:tcPr>
            <w:tcW w:w="1419" w:type="dxa"/>
            <w:vAlign w:val="center"/>
          </w:tcPr>
          <w:p w14:paraId="7C37DEB8" w14:textId="77777777" w:rsidR="000F57D3" w:rsidRDefault="00744446">
            <w:pPr>
              <w:widowControl/>
              <w:spacing w:line="360" w:lineRule="auto"/>
              <w:jc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其它</w:t>
            </w:r>
          </w:p>
        </w:tc>
        <w:tc>
          <w:tcPr>
            <w:tcW w:w="6390" w:type="dxa"/>
          </w:tcPr>
          <w:p w14:paraId="06683DD8" w14:textId="77777777" w:rsidR="000F57D3" w:rsidRDefault="00744446">
            <w:pPr>
              <w:spacing w:line="440" w:lineRule="exact"/>
              <w:jc w:val="left"/>
              <w:rPr>
                <w:rFonts w:asciiTheme="majorEastAsia" w:eastAsiaTheme="majorEastAsia" w:hAnsiTheme="majorEastAsia" w:cs="等线"/>
                <w:sz w:val="24"/>
              </w:rPr>
            </w:pPr>
            <w:r>
              <w:rPr>
                <w:rFonts w:asciiTheme="majorEastAsia" w:eastAsiaTheme="majorEastAsia" w:hAnsiTheme="majorEastAsia" w:cs="等线" w:hint="eastAsia"/>
                <w:sz w:val="24"/>
              </w:rPr>
              <w:t>1、项目实施团队人员应具有相关资质证书，能顺利完成测评工作，具体如下：</w:t>
            </w:r>
          </w:p>
          <w:p w14:paraId="68194AD4" w14:textId="77777777" w:rsidR="000F57D3" w:rsidRDefault="00744446">
            <w:pPr>
              <w:spacing w:line="440" w:lineRule="exact"/>
              <w:jc w:val="left"/>
              <w:rPr>
                <w:rFonts w:asciiTheme="majorEastAsia" w:eastAsiaTheme="majorEastAsia" w:hAnsiTheme="majorEastAsia" w:cs="等线"/>
                <w:sz w:val="24"/>
              </w:rPr>
            </w:pPr>
            <w:r>
              <w:rPr>
                <w:rFonts w:asciiTheme="majorEastAsia" w:eastAsiaTheme="majorEastAsia" w:hAnsiTheme="majorEastAsia" w:cs="等线" w:hint="eastAsia"/>
                <w:sz w:val="24"/>
              </w:rPr>
              <w:t>（1）中级测评师1名以上；初级测评师2名以上；测评师应至少一名具有工业和信息化部教育与考试中心颁发的网络安全威胁分析师证书；</w:t>
            </w:r>
          </w:p>
          <w:p w14:paraId="2D588C2C" w14:textId="77777777" w:rsidR="000F57D3" w:rsidRDefault="00744446">
            <w:pPr>
              <w:spacing w:line="360" w:lineRule="auto"/>
              <w:rPr>
                <w:rFonts w:ascii="宋体" w:eastAsiaTheme="majorEastAsia" w:hAnsi="宋体" w:cs="宋体"/>
                <w:sz w:val="24"/>
              </w:rPr>
            </w:pPr>
            <w:r>
              <w:rPr>
                <w:rFonts w:asciiTheme="majorEastAsia" w:eastAsiaTheme="majorEastAsia" w:hAnsiTheme="majorEastAsia" w:cs="等线" w:hint="eastAsia"/>
                <w:sz w:val="24"/>
              </w:rPr>
              <w:t>（2）项目经理同时具备高级测评师证书、信息安全保障人员认证证书（风险管理）、网络安全能力认证培训讲师（CCSC）证书、数据安全工程师证书；</w:t>
            </w:r>
          </w:p>
          <w:p w14:paraId="39062FB4" w14:textId="77777777" w:rsidR="000F57D3" w:rsidRDefault="00744446">
            <w:pPr>
              <w:spacing w:line="360" w:lineRule="auto"/>
              <w:rPr>
                <w:rFonts w:ascii="宋体" w:eastAsia="宋体" w:hAnsi="宋体" w:cs="宋体"/>
                <w:sz w:val="24"/>
              </w:rPr>
            </w:pPr>
            <w:r>
              <w:rPr>
                <w:rFonts w:ascii="宋体" w:hAnsi="宋体" w:cs="宋体" w:hint="eastAsia"/>
                <w:sz w:val="24"/>
              </w:rPr>
              <w:t>2、</w:t>
            </w:r>
            <w:r>
              <w:rPr>
                <w:rFonts w:ascii="宋体" w:eastAsia="宋体" w:hAnsi="宋体" w:cs="宋体" w:hint="eastAsia"/>
                <w:sz w:val="24"/>
              </w:rPr>
              <w:t>合同签订</w:t>
            </w:r>
            <w:r>
              <w:rPr>
                <w:rFonts w:ascii="宋体" w:hAnsi="宋体" w:cs="宋体" w:hint="eastAsia"/>
                <w:sz w:val="24"/>
              </w:rPr>
              <w:t>10</w:t>
            </w:r>
            <w:r>
              <w:rPr>
                <w:rFonts w:ascii="宋体" w:eastAsia="宋体" w:hAnsi="宋体" w:cs="宋体" w:hint="eastAsia"/>
                <w:sz w:val="24"/>
              </w:rPr>
              <w:t>个工作日内完成本次测评报告在网安部门的备案工作，每逾期一天扣10%的中标费用。</w:t>
            </w:r>
          </w:p>
          <w:p w14:paraId="3D60DD50" w14:textId="77777777" w:rsidR="000F57D3" w:rsidRDefault="00744446">
            <w:pPr>
              <w:spacing w:line="360" w:lineRule="auto"/>
              <w:rPr>
                <w:rFonts w:ascii="宋体" w:eastAsia="宋体" w:hAnsi="宋体" w:cs="宋体"/>
                <w:sz w:val="24"/>
              </w:rPr>
            </w:pPr>
            <w:r>
              <w:rPr>
                <w:rFonts w:ascii="宋体" w:hAnsi="宋体" w:cs="宋体" w:hint="eastAsia"/>
                <w:sz w:val="24"/>
              </w:rPr>
              <w:t>3、</w:t>
            </w:r>
            <w:r>
              <w:rPr>
                <w:rFonts w:ascii="宋体" w:eastAsia="宋体" w:hAnsi="宋体" w:cs="宋体" w:hint="eastAsia"/>
                <w:sz w:val="24"/>
              </w:rPr>
              <w:t>投标公司应具备不得低于3份在新乡市类似的业绩合同。</w:t>
            </w:r>
          </w:p>
        </w:tc>
      </w:tr>
    </w:tbl>
    <w:p w14:paraId="3B2CA736" w14:textId="77777777" w:rsidR="000F57D3" w:rsidRDefault="000F57D3"/>
    <w:p w14:paraId="28B553C3" w14:textId="77777777" w:rsidR="000F57D3" w:rsidRDefault="000F57D3">
      <w:pPr>
        <w:ind w:firstLineChars="200" w:firstLine="560"/>
        <w:jc w:val="left"/>
        <w:rPr>
          <w:rFonts w:ascii="微软雅黑" w:eastAsia="微软雅黑" w:hAnsi="微软雅黑" w:cs="微软雅黑"/>
          <w:sz w:val="28"/>
          <w:szCs w:val="36"/>
        </w:rPr>
      </w:pPr>
    </w:p>
    <w:p w14:paraId="4F5B21A0" w14:textId="77777777" w:rsidR="000F57D3" w:rsidRDefault="000F57D3">
      <w:pPr>
        <w:ind w:firstLineChars="200" w:firstLine="560"/>
        <w:jc w:val="left"/>
        <w:rPr>
          <w:rFonts w:ascii="微软雅黑" w:eastAsia="微软雅黑" w:hAnsi="微软雅黑" w:cs="微软雅黑"/>
          <w:sz w:val="28"/>
          <w:szCs w:val="36"/>
        </w:rPr>
      </w:pPr>
    </w:p>
    <w:p w14:paraId="7625E365" w14:textId="77777777" w:rsidR="000F57D3" w:rsidRDefault="000F57D3"/>
    <w:p w14:paraId="26918597" w14:textId="77777777" w:rsidR="000F57D3" w:rsidRDefault="000F57D3"/>
    <w:sectPr w:rsidR="000F57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720A" w14:textId="77777777" w:rsidR="008B7EC1" w:rsidRDefault="008B7EC1" w:rsidP="00E82C05">
      <w:r>
        <w:separator/>
      </w:r>
    </w:p>
  </w:endnote>
  <w:endnote w:type="continuationSeparator" w:id="0">
    <w:p w14:paraId="523A61E8" w14:textId="77777777" w:rsidR="008B7EC1" w:rsidRDefault="008B7EC1" w:rsidP="00E8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87" w:usb1="288F0000" w:usb2="00000016" w:usb3="00000000" w:csb0="0004001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Source Han Serif CN">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D2F3" w14:textId="77777777" w:rsidR="008B7EC1" w:rsidRDefault="008B7EC1" w:rsidP="00E82C05">
      <w:r>
        <w:separator/>
      </w:r>
    </w:p>
  </w:footnote>
  <w:footnote w:type="continuationSeparator" w:id="0">
    <w:p w14:paraId="0BEE384F" w14:textId="77777777" w:rsidR="008B7EC1" w:rsidRDefault="008B7EC1" w:rsidP="00E82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71D909"/>
    <w:multiLevelType w:val="singleLevel"/>
    <w:tmpl w:val="A171D909"/>
    <w:lvl w:ilvl="0">
      <w:start w:val="1"/>
      <w:numFmt w:val="chineseCounting"/>
      <w:suff w:val="nothing"/>
      <w:lvlText w:val="%1、"/>
      <w:lvlJc w:val="left"/>
      <w:pPr>
        <w:ind w:left="-420" w:firstLine="420"/>
      </w:pPr>
      <w:rPr>
        <w:rFonts w:hint="eastAsia"/>
      </w:rPr>
    </w:lvl>
  </w:abstractNum>
  <w:abstractNum w:abstractNumId="1" w15:restartNumberingAfterBreak="0">
    <w:nsid w:val="79BE4B12"/>
    <w:multiLevelType w:val="multilevel"/>
    <w:tmpl w:val="79BE4B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0489294">
    <w:abstractNumId w:val="1"/>
  </w:num>
  <w:num w:numId="2" w16cid:durableId="204540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2MTZmMTcxZDE3NDRmNGE4NzQ0NDNiNDhjMTY0MTYifQ=="/>
  </w:docVars>
  <w:rsids>
    <w:rsidRoot w:val="2C7A2802"/>
    <w:rsid w:val="000F57D3"/>
    <w:rsid w:val="00244FBF"/>
    <w:rsid w:val="00471AAD"/>
    <w:rsid w:val="00744446"/>
    <w:rsid w:val="008B7EC1"/>
    <w:rsid w:val="00BD639F"/>
    <w:rsid w:val="00E82C05"/>
    <w:rsid w:val="089A7252"/>
    <w:rsid w:val="2C7A2802"/>
    <w:rsid w:val="32A724AC"/>
    <w:rsid w:val="4E8B2F7D"/>
    <w:rsid w:val="6711227C"/>
    <w:rsid w:val="78062574"/>
    <w:rsid w:val="7FDE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C9D0E"/>
  <w15:docId w15:val="{C120515E-D183-41F9-8F36-0BFC108D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qFormat/>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a5"/>
    <w:rsid w:val="00E82C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82C05"/>
    <w:rPr>
      <w:rFonts w:asciiTheme="minorHAnsi" w:eastAsiaTheme="minorEastAsia" w:hAnsiTheme="minorHAnsi" w:cstheme="minorBidi"/>
      <w:kern w:val="2"/>
      <w:sz w:val="18"/>
      <w:szCs w:val="18"/>
    </w:rPr>
  </w:style>
  <w:style w:type="paragraph" w:styleId="a6">
    <w:name w:val="footer"/>
    <w:basedOn w:val="a"/>
    <w:link w:val="a7"/>
    <w:rsid w:val="00E82C05"/>
    <w:pPr>
      <w:tabs>
        <w:tab w:val="center" w:pos="4153"/>
        <w:tab w:val="right" w:pos="8306"/>
      </w:tabs>
      <w:snapToGrid w:val="0"/>
      <w:jc w:val="left"/>
    </w:pPr>
    <w:rPr>
      <w:sz w:val="18"/>
      <w:szCs w:val="18"/>
    </w:rPr>
  </w:style>
  <w:style w:type="character" w:customStyle="1" w:styleId="a7">
    <w:name w:val="页脚 字符"/>
    <w:basedOn w:val="a0"/>
    <w:link w:val="a6"/>
    <w:rsid w:val="00E82C0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352</Words>
  <Characters>2008</Characters>
  <Application>Microsoft Office Word</Application>
  <DocSecurity>0</DocSecurity>
  <Lines>16</Lines>
  <Paragraphs>4</Paragraphs>
  <ScaleCrop>false</ScaleCrop>
  <Company>斗门区</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夏兴意</dc:creator>
  <cp:lastModifiedBy>宇坤 刘</cp:lastModifiedBy>
  <cp:revision>5</cp:revision>
  <dcterms:created xsi:type="dcterms:W3CDTF">2023-11-30T01:33:00Z</dcterms:created>
  <dcterms:modified xsi:type="dcterms:W3CDTF">2023-12-18T05:04:00Z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232403A969DC4080B222D20DB54F260F_11</vt:lpwstr>
  </property>
</Properties>
</file>