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灭火器送检和充装要求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依据:《消防法》《GB50444-2008)《GA95-2007》执行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灭火器维修充装企业资质: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消防法第34条规定，灭火器维修充装单位必须取得(工商营业执照》《消防产品维修许可证》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GA95-2007要求: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经过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</w:t>
      </w:r>
      <w:r>
        <w:rPr>
          <w:rFonts w:hint="eastAsia" w:ascii="仿宋" w:hAnsi="仿宋" w:eastAsia="仿宋" w:cs="仿宋"/>
          <w:sz w:val="32"/>
          <w:szCs w:val="32"/>
        </w:rPr>
        <w:t>修的灭火器必须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</w:t>
      </w:r>
      <w:r>
        <w:rPr>
          <w:rFonts w:hint="eastAsia" w:ascii="仿宋" w:hAnsi="仿宋" w:eastAsia="仿宋" w:cs="仿宋"/>
          <w:sz w:val="32"/>
          <w:szCs w:val="32"/>
        </w:rPr>
        <w:t>合该产品生产时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执行的国家标准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或行业标准的要求。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灭火器维修单位一般应经灭火器生产企业授权，从事授权企业产品的维修业务。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灭火器维修和再充时，维修单位必须逐个对灭火器筒体和贮气瓶进行水压试验.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二氧化碳灭火器的钢瓶应逐个进行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残余变形率的测定喷嘴和喷射软管有变形，开裂，损伤等缺陷的.必须更换灭火器的压把、提把等金属件不得有严重损伤、变形、锈蚀，送修灭火器中剩余的灭火剂不得回收再次使用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，再充装后的灭火器必须逐具进行气密性试验。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jM3MzI3N2NiNWJlYWY2MjIxODIzMmQyZjRjYmIifQ=="/>
    <w:docVar w:name="KSO_WPS_MARK_KEY" w:val="40dc1ed4-f522-4b61-be5b-eca0e3a4b30c"/>
  </w:docVars>
  <w:rsids>
    <w:rsidRoot w:val="00000000"/>
    <w:rsid w:val="048A1DB6"/>
    <w:rsid w:val="290B615B"/>
    <w:rsid w:val="45C20BDF"/>
    <w:rsid w:val="4FC5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343</Characters>
  <Lines>0</Lines>
  <Paragraphs>0</Paragraphs>
  <TotalTime>61</TotalTime>
  <ScaleCrop>false</ScaleCrop>
  <LinksUpToDate>false</LinksUpToDate>
  <CharactersWithSpaces>343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2024-05-24T05:37:00Z</dcterms:created>
  <dc:creator>123</dc:creator>
  <cp:lastModifiedBy>刘宇坤</cp:lastModifiedBy>
  <dcterms:modified xsi:type="dcterms:W3CDTF">2024-05-27T02:21:15Z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55D5EF4D24D546148DB8365E648210AD_12</vt:lpwstr>
  </property>
</Properties>
</file>