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715"/>
        <w:gridCol w:w="9720"/>
        <w:gridCol w:w="2017"/>
      </w:tblGrid>
      <w:tr w14:paraId="66FE2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74" w:type="dxa"/>
            <w:gridSpan w:val="4"/>
            <w:vAlign w:val="center"/>
          </w:tcPr>
          <w:p w14:paraId="6133CBBE">
            <w:pPr>
              <w:widowControl w:val="0"/>
              <w:adjustRightInd w:val="0"/>
              <w:spacing w:line="500" w:lineRule="exact"/>
              <w:ind w:firstLine="0" w:firstLineChars="0"/>
              <w:jc w:val="center"/>
              <w:rPr>
                <w:rFonts w:hint="default" w:ascii="黑体" w:hAnsi="黑体" w:eastAsia="黑体" w:cs="黑体"/>
                <w:kern w:val="0"/>
                <w:sz w:val="28"/>
                <w:szCs w:val="28"/>
                <w:lang w:val="en-US" w:eastAsia="zh-CN"/>
                <w14:ligatures w14:val="none"/>
              </w:rPr>
            </w:pPr>
            <w:r>
              <w:rPr>
                <w:rFonts w:hint="eastAsia" w:ascii="黑体" w:hAnsi="黑体" w:eastAsia="黑体" w:cs="黑体"/>
                <w:kern w:val="0"/>
                <w:sz w:val="28"/>
                <w:szCs w:val="28"/>
                <w14:ligatures w14:val="none"/>
              </w:rPr>
              <w:t>新媒体管理系统建设</w:t>
            </w:r>
            <w:r>
              <w:rPr>
                <w:rFonts w:hint="eastAsia" w:ascii="黑体" w:hAnsi="黑体" w:eastAsia="黑体" w:cs="黑体"/>
                <w:kern w:val="0"/>
                <w:sz w:val="28"/>
                <w:szCs w:val="28"/>
                <w:lang w:val="en-US" w:eastAsia="zh-CN"/>
                <w14:ligatures w14:val="none"/>
              </w:rPr>
              <w:t>项目需求及报价单</w:t>
            </w:r>
          </w:p>
        </w:tc>
      </w:tr>
      <w:tr w14:paraId="6BA3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vAlign w:val="center"/>
          </w:tcPr>
          <w:p w14:paraId="3D37110F">
            <w:pPr>
              <w:widowControl w:val="0"/>
              <w:adjustRightInd w:val="0"/>
              <w:spacing w:line="500" w:lineRule="exact"/>
              <w:ind w:firstLine="0" w:firstLineChars="0"/>
              <w:jc w:val="center"/>
              <w:rPr>
                <w:rFonts w:ascii="仿宋" w:hAnsi="仿宋" w:eastAsia="仿宋" w:cs="Times New Roman (正文 CS 字体)"/>
                <w:b/>
                <w:bCs/>
                <w:kern w:val="0"/>
                <w:szCs w:val="24"/>
                <w14:ligatures w14:val="none"/>
              </w:rPr>
            </w:pPr>
            <w:bookmarkStart w:id="2" w:name="_GoBack" w:colFirst="0" w:colLast="3"/>
            <w:r>
              <w:rPr>
                <w:rFonts w:hint="eastAsia" w:ascii="仿宋" w:hAnsi="仿宋" w:eastAsia="仿宋" w:cs="Times New Roman (正文 CS 字体)"/>
                <w:b/>
                <w:bCs/>
                <w:kern w:val="0"/>
                <w:szCs w:val="24"/>
                <w14:ligatures w14:val="none"/>
              </w:rPr>
              <w:t>序号</w:t>
            </w:r>
          </w:p>
        </w:tc>
        <w:tc>
          <w:tcPr>
            <w:tcW w:w="1715" w:type="dxa"/>
            <w:vAlign w:val="center"/>
          </w:tcPr>
          <w:p w14:paraId="04963103">
            <w:pPr>
              <w:widowControl w:val="0"/>
              <w:adjustRightInd w:val="0"/>
              <w:spacing w:line="500" w:lineRule="exact"/>
              <w:ind w:firstLine="0" w:firstLineChars="0"/>
              <w:jc w:val="center"/>
              <w:rPr>
                <w:rFonts w:ascii="仿宋" w:hAnsi="仿宋" w:eastAsia="仿宋" w:cs="Times New Roman (正文 CS 字体)"/>
                <w:b/>
                <w:bCs/>
                <w:kern w:val="0"/>
                <w:szCs w:val="24"/>
                <w14:ligatures w14:val="none"/>
              </w:rPr>
            </w:pPr>
            <w:r>
              <w:rPr>
                <w:rFonts w:hint="eastAsia" w:ascii="仿宋" w:hAnsi="仿宋" w:eastAsia="仿宋" w:cs="Times New Roman (正文 CS 字体)"/>
                <w:b/>
                <w:bCs/>
                <w:kern w:val="0"/>
                <w:szCs w:val="24"/>
                <w14:ligatures w14:val="none"/>
              </w:rPr>
              <w:t>产品名称</w:t>
            </w:r>
          </w:p>
        </w:tc>
        <w:tc>
          <w:tcPr>
            <w:tcW w:w="9720" w:type="dxa"/>
            <w:vAlign w:val="center"/>
          </w:tcPr>
          <w:p w14:paraId="10E2FB49">
            <w:pPr>
              <w:widowControl w:val="0"/>
              <w:adjustRightInd w:val="0"/>
              <w:spacing w:line="500" w:lineRule="exact"/>
              <w:ind w:firstLine="0" w:firstLineChars="0"/>
              <w:jc w:val="center"/>
              <w:rPr>
                <w:rFonts w:ascii="仿宋" w:hAnsi="仿宋" w:eastAsia="仿宋" w:cs="Times New Roman (正文 CS 字体)"/>
                <w:b/>
                <w:bCs/>
                <w:kern w:val="0"/>
                <w:szCs w:val="24"/>
                <w14:ligatures w14:val="none"/>
              </w:rPr>
            </w:pPr>
            <w:r>
              <w:rPr>
                <w:rFonts w:hint="eastAsia" w:ascii="仿宋" w:hAnsi="仿宋" w:eastAsia="仿宋" w:cs="Times New Roman (正文 CS 字体)"/>
                <w:b/>
                <w:bCs/>
                <w:kern w:val="0"/>
                <w:szCs w:val="24"/>
                <w14:ligatures w14:val="none"/>
              </w:rPr>
              <w:t>功能、性能、配置不低于以下要求</w:t>
            </w:r>
          </w:p>
        </w:tc>
        <w:tc>
          <w:tcPr>
            <w:tcW w:w="2017" w:type="dxa"/>
            <w:vAlign w:val="center"/>
          </w:tcPr>
          <w:p w14:paraId="1E5651F2">
            <w:pPr>
              <w:widowControl w:val="0"/>
              <w:adjustRightInd w:val="0"/>
              <w:spacing w:line="500" w:lineRule="exact"/>
              <w:ind w:firstLine="0" w:firstLineChars="0"/>
              <w:jc w:val="center"/>
              <w:rPr>
                <w:rFonts w:hint="eastAsia" w:ascii="仿宋" w:hAnsi="仿宋" w:eastAsia="仿宋" w:cs="Times New Roman (正文 CS 字体)"/>
                <w:b/>
                <w:bCs/>
                <w:kern w:val="0"/>
                <w:szCs w:val="24"/>
                <w:lang w:val="en-US" w:eastAsia="zh-CN"/>
                <w14:ligatures w14:val="none"/>
              </w:rPr>
            </w:pPr>
            <w:r>
              <w:rPr>
                <w:rFonts w:hint="eastAsia" w:ascii="仿宋" w:hAnsi="仿宋" w:eastAsia="仿宋" w:cs="Times New Roman (正文 CS 字体)"/>
                <w:b/>
                <w:bCs/>
                <w:kern w:val="0"/>
                <w:szCs w:val="24"/>
                <w:lang w:val="en-US" w:eastAsia="zh-CN"/>
                <w14:ligatures w14:val="none"/>
              </w:rPr>
              <w:t>报价（元）</w:t>
            </w:r>
          </w:p>
        </w:tc>
      </w:tr>
      <w:bookmarkEnd w:id="2"/>
      <w:tr w14:paraId="6973D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Align w:val="center"/>
          </w:tcPr>
          <w:p w14:paraId="125B7177">
            <w:pPr>
              <w:widowControl w:val="0"/>
              <w:numPr>
                <w:ilvl w:val="0"/>
                <w:numId w:val="1"/>
              </w:numPr>
              <w:adjustRightInd w:val="0"/>
              <w:snapToGrid w:val="0"/>
              <w:spacing w:line="500" w:lineRule="exact"/>
              <w:ind w:firstLine="0" w:firstLineChars="0"/>
              <w:jc w:val="both"/>
              <w:rPr>
                <w:rFonts w:ascii="仿宋" w:hAnsi="仿宋" w:eastAsia="仿宋" w:cs="Times New Roman (正文 CS 字体)"/>
                <w:kern w:val="0"/>
                <w:szCs w:val="24"/>
                <w14:ligatures w14:val="none"/>
              </w:rPr>
            </w:pPr>
          </w:p>
        </w:tc>
        <w:tc>
          <w:tcPr>
            <w:tcW w:w="1715" w:type="dxa"/>
            <w:vAlign w:val="center"/>
          </w:tcPr>
          <w:p w14:paraId="591C8A51">
            <w:pPr>
              <w:widowControl w:val="0"/>
              <w:adjustRightInd w:val="0"/>
              <w:spacing w:line="500" w:lineRule="exact"/>
              <w:ind w:firstLine="0" w:firstLineChars="0"/>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整体技术要求</w:t>
            </w:r>
          </w:p>
        </w:tc>
        <w:tc>
          <w:tcPr>
            <w:tcW w:w="9720" w:type="dxa"/>
            <w:vAlign w:val="center"/>
          </w:tcPr>
          <w:p w14:paraId="36F32616">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▲1.系统应采用微服务架构进行设计，确保系统的可扩展性、可维护性和灵活性。</w:t>
            </w:r>
          </w:p>
          <w:p w14:paraId="2908D99C">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w:t>
            </w:r>
            <w:r>
              <w:rPr>
                <w:rFonts w:hint="eastAsia" w:ascii="仿宋" w:hAnsi="仿宋" w:eastAsia="仿宋" w:cs="Times New Roman (正文 CS 字体)"/>
                <w:kern w:val="0"/>
                <w:szCs w:val="24"/>
                <w:lang w:val="en-US" w:eastAsia="zh-CN"/>
                <w14:ligatures w14:val="none"/>
              </w:rPr>
              <w:t>2</w:t>
            </w:r>
            <w:r>
              <w:rPr>
                <w:rFonts w:hint="eastAsia" w:ascii="仿宋" w:hAnsi="仿宋" w:eastAsia="仿宋" w:cs="Times New Roman (正文 CS 字体)"/>
                <w:kern w:val="0"/>
                <w:szCs w:val="24"/>
                <w14:ligatures w14:val="none"/>
              </w:rPr>
              <w:t>.系统内组织架构和人员数据与学校公共数据同步，根据需要创建不同角色并分配菜单、栏目、资源库及审批等权限，详细记录系统运行日志及用户登录和操作日志。</w:t>
            </w:r>
          </w:p>
          <w:p w14:paraId="5390F150">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w:t>
            </w:r>
            <w:r>
              <w:rPr>
                <w:rFonts w:hint="eastAsia" w:ascii="仿宋" w:hAnsi="仿宋" w:eastAsia="仿宋" w:cs="Times New Roman (正文 CS 字体)"/>
                <w:kern w:val="0"/>
                <w:szCs w:val="24"/>
                <w:lang w:val="en-US" w:eastAsia="zh-CN"/>
                <w14:ligatures w14:val="none"/>
              </w:rPr>
              <w:t>3</w:t>
            </w:r>
            <w:r>
              <w:rPr>
                <w:rFonts w:hint="eastAsia" w:ascii="仿宋" w:hAnsi="仿宋" w:eastAsia="仿宋" w:cs="Times New Roman (正文 CS 字体)"/>
                <w:kern w:val="0"/>
                <w:szCs w:val="24"/>
                <w14:ligatures w14:val="none"/>
              </w:rPr>
              <w:t>.提供高效的一键部署工具，具备直观易用的用户界面，在工具内完成应用环境配置、依赖包安装、服务安装、升级、启动等工作。（提供系统操作界面截图，提供一键部署平台的软件著作权证书及带CMA标识测试报告）</w:t>
            </w:r>
          </w:p>
          <w:p w14:paraId="7A867A60">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w:t>
            </w:r>
            <w:r>
              <w:rPr>
                <w:rFonts w:hint="eastAsia" w:ascii="仿宋" w:hAnsi="仿宋" w:eastAsia="仿宋" w:cs="Times New Roman (正文 CS 字体)"/>
                <w:kern w:val="0"/>
                <w:szCs w:val="24"/>
                <w:lang w:val="en-US" w:eastAsia="zh-CN"/>
                <w14:ligatures w14:val="none"/>
              </w:rPr>
              <w:t>4</w:t>
            </w:r>
            <w:r>
              <w:rPr>
                <w:rFonts w:hint="eastAsia" w:ascii="仿宋" w:hAnsi="仿宋" w:eastAsia="仿宋" w:cs="Times New Roman (正文 CS 字体)"/>
                <w:kern w:val="0"/>
                <w:szCs w:val="24"/>
                <w14:ligatures w14:val="none"/>
              </w:rPr>
              <w:t>.具有良好的扩展性和伸缩性，提供基于JSR-168/JSR-268规范的Portlet界面集成能力，让第三方应用系统能平滑无缝的与平台实现界面集成，具备构建一体化信息服务平台的能力。（提供一体化信息服务平台的软件著作权证书）</w:t>
            </w:r>
          </w:p>
          <w:p w14:paraId="3FA2EB10">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w:t>
            </w:r>
            <w:r>
              <w:rPr>
                <w:rFonts w:hint="eastAsia" w:ascii="仿宋" w:hAnsi="仿宋" w:eastAsia="仿宋" w:cs="Times New Roman (正文 CS 字体)"/>
                <w:kern w:val="0"/>
                <w:szCs w:val="24"/>
                <w:lang w:val="en-US" w:eastAsia="zh-CN"/>
                <w14:ligatures w14:val="none"/>
              </w:rPr>
              <w:t>5</w:t>
            </w:r>
            <w:r>
              <w:rPr>
                <w:rFonts w:hint="eastAsia" w:ascii="仿宋" w:hAnsi="仿宋" w:eastAsia="仿宋" w:cs="Times New Roman (正文 CS 字体)"/>
                <w:kern w:val="0"/>
                <w:szCs w:val="24"/>
                <w14:ligatures w14:val="none"/>
              </w:rPr>
              <w:t>.系统数据需符合国家标准及行业标准。</w:t>
            </w:r>
          </w:p>
          <w:p w14:paraId="1411BFCC">
            <w:pPr>
              <w:widowControl w:val="0"/>
              <w:tabs>
                <w:tab w:val="left" w:pos="312"/>
              </w:tabs>
              <w:adjustRightInd w:val="0"/>
              <w:snapToGrid w:val="0"/>
              <w:spacing w:line="240" w:lineRule="auto"/>
              <w:ind w:firstLine="0" w:firstLineChars="0"/>
              <w:jc w:val="both"/>
              <w:rPr>
                <w:rFonts w:ascii="仿宋" w:hAnsi="仿宋" w:eastAsia="仿宋" w:cs="Times New Roman (正文 CS 字体)"/>
                <w:kern w:val="0"/>
                <w:szCs w:val="24"/>
                <w14:ligatures w14:val="none"/>
              </w:rPr>
            </w:pPr>
          </w:p>
        </w:tc>
        <w:tc>
          <w:tcPr>
            <w:tcW w:w="2017" w:type="dxa"/>
            <w:vAlign w:val="center"/>
          </w:tcPr>
          <w:p w14:paraId="32E98B93">
            <w:pPr>
              <w:widowControl w:val="0"/>
              <w:tabs>
                <w:tab w:val="left" w:pos="312"/>
              </w:tabs>
              <w:adjustRightInd w:val="0"/>
              <w:snapToGrid w:val="0"/>
              <w:spacing w:line="240" w:lineRule="auto"/>
              <w:ind w:firstLine="0" w:firstLineChars="0"/>
              <w:jc w:val="both"/>
              <w:rPr>
                <w:rFonts w:ascii="仿宋" w:hAnsi="仿宋" w:eastAsia="仿宋" w:cs="Times New Roman (正文 CS 字体)"/>
                <w:kern w:val="0"/>
                <w:szCs w:val="24"/>
                <w14:ligatures w14:val="none"/>
              </w:rPr>
            </w:pPr>
          </w:p>
        </w:tc>
      </w:tr>
      <w:tr w14:paraId="0F95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Align w:val="center"/>
          </w:tcPr>
          <w:p w14:paraId="41B263AF">
            <w:pPr>
              <w:widowControl w:val="0"/>
              <w:numPr>
                <w:ilvl w:val="0"/>
                <w:numId w:val="1"/>
              </w:numPr>
              <w:adjustRightInd w:val="0"/>
              <w:snapToGrid w:val="0"/>
              <w:spacing w:line="500" w:lineRule="exact"/>
              <w:ind w:firstLine="0" w:firstLineChars="0"/>
              <w:jc w:val="both"/>
              <w:rPr>
                <w:rFonts w:ascii="仿宋" w:hAnsi="仿宋" w:eastAsia="仿宋" w:cs="Times New Roman (正文 CS 字体)"/>
                <w:kern w:val="0"/>
                <w:szCs w:val="24"/>
                <w14:ligatures w14:val="none"/>
              </w:rPr>
            </w:pPr>
          </w:p>
        </w:tc>
        <w:tc>
          <w:tcPr>
            <w:tcW w:w="1715" w:type="dxa"/>
            <w:vAlign w:val="center"/>
          </w:tcPr>
          <w:p w14:paraId="73A705C4">
            <w:pPr>
              <w:widowControl w:val="0"/>
              <w:adjustRightInd w:val="0"/>
              <w:snapToGrid w:val="0"/>
              <w:spacing w:line="500" w:lineRule="exact"/>
              <w:ind w:firstLine="0" w:firstLineChars="0"/>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新媒体矩阵管理中心</w:t>
            </w:r>
          </w:p>
        </w:tc>
        <w:tc>
          <w:tcPr>
            <w:tcW w:w="9720" w:type="dxa"/>
            <w:vAlign w:val="center"/>
          </w:tcPr>
          <w:p w14:paraId="69951E32">
            <w:pPr>
              <w:widowControl w:val="0"/>
              <w:spacing w:line="240" w:lineRule="auto"/>
              <w:ind w:firstLine="0" w:firstLineChars="0"/>
              <w:jc w:val="both"/>
              <w:rPr>
                <w:rFonts w:ascii="仿宋" w:hAnsi="仿宋" w:eastAsia="仿宋" w:cs="Times New Roman (正文 CS 字体)"/>
                <w:b/>
                <w:bCs/>
                <w:kern w:val="0"/>
                <w:szCs w:val="24"/>
                <w14:ligatures w14:val="none"/>
              </w:rPr>
            </w:pPr>
            <w:bookmarkStart w:id="0" w:name="OLE_LINK4"/>
            <w:r>
              <w:rPr>
                <w:rFonts w:hint="eastAsia" w:ascii="仿宋" w:hAnsi="仿宋" w:eastAsia="仿宋" w:cs="Times New Roman (正文 CS 字体)"/>
                <w:b/>
                <w:bCs/>
                <w:kern w:val="0"/>
                <w:szCs w:val="24"/>
                <w14:ligatures w14:val="none"/>
              </w:rPr>
              <w:t>新媒体资产管理</w:t>
            </w:r>
          </w:p>
          <w:bookmarkEnd w:id="0"/>
          <w:p w14:paraId="18B456E2">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▲1.支持媒体管理，可添加微信公众号、微博、抖音等新媒体账号</w:t>
            </w:r>
            <w:r>
              <w:rPr>
                <w:rFonts w:hint="eastAsia" w:ascii="等线" w:hAnsi="等线" w:eastAsia="仿宋" w:cs="Times New Roman"/>
                <w:kern w:val="0"/>
                <w:szCs w:val="24"/>
                <w14:ligatures w14:val="none"/>
              </w:rPr>
              <w:t>，通过扫码授权方式进行账号的绑定添加，并对账号发布的历史资讯自动同步。</w:t>
            </w:r>
            <w:r>
              <w:rPr>
                <w:rFonts w:hint="eastAsia" w:ascii="仿宋" w:hAnsi="仿宋" w:eastAsia="仿宋" w:cs="Times New Roman (正文 CS 字体)"/>
                <w:kern w:val="0"/>
                <w:szCs w:val="24"/>
                <w14:ligatures w14:val="none"/>
              </w:rPr>
              <w:t>（提供系统操作界面截图及带CMA标识测试报告）</w:t>
            </w:r>
          </w:p>
          <w:p w14:paraId="5975D31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▲2.支持所有需要学校管控的二级部门和学院新媒体，包含名称、所属部门、账号，点击可查看详情或管理备案，支持新媒体账号的解绑、移交和注销流程。</w:t>
            </w:r>
          </w:p>
          <w:p w14:paraId="18304C5D">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▲3.支持</w:t>
            </w:r>
            <w:r>
              <w:rPr>
                <w:rFonts w:hint="eastAsia" w:ascii="等线" w:hAnsi="等线" w:eastAsia="仿宋" w:cs="Times New Roman"/>
                <w:kern w:val="0"/>
                <w:szCs w:val="24"/>
                <w14:ligatures w14:val="none"/>
              </w:rPr>
              <w:t>新媒体备案申请，支持拖拽配置账号备案申请流程，配置相应的流程审核节点及人员，以及退回流程。</w:t>
            </w:r>
            <w:r>
              <w:rPr>
                <w:rFonts w:hint="eastAsia" w:ascii="仿宋" w:hAnsi="仿宋" w:eastAsia="仿宋" w:cs="Times New Roman (正文 CS 字体)"/>
                <w:kern w:val="0"/>
                <w:szCs w:val="24"/>
                <w14:ligatures w14:val="none"/>
              </w:rPr>
              <w:t>（提供系统操作界面截图及带CMA标识测试报告）</w:t>
            </w:r>
          </w:p>
          <w:p w14:paraId="0FEE3CF1">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▲4.线上审核需支持由二级部门申请人发起，经由二级部门审核后到达相关主管部门。</w:t>
            </w:r>
          </w:p>
          <w:p w14:paraId="3EAA1A2D">
            <w:pPr>
              <w:widowControl w:val="0"/>
              <w:spacing w:line="240" w:lineRule="auto"/>
              <w:ind w:firstLine="0" w:firstLineChars="0"/>
              <w:jc w:val="both"/>
              <w:rPr>
                <w:rFonts w:ascii="等线" w:hAnsi="等线" w:eastAsia="仿宋" w:cs="Times New Roman"/>
                <w:kern w:val="0"/>
                <w:szCs w:val="24"/>
                <w14:ligatures w14:val="none"/>
              </w:rPr>
            </w:pPr>
            <w:r>
              <w:rPr>
                <w:rFonts w:hint="eastAsia" w:ascii="仿宋" w:hAnsi="仿宋" w:eastAsia="仿宋" w:cs="Times New Roman (正文 CS 字体)"/>
                <w:kern w:val="0"/>
                <w:szCs w:val="24"/>
                <w14:ligatures w14:val="none"/>
              </w:rPr>
              <w:t>▲5.支持添加b站新媒体账号，</w:t>
            </w:r>
            <w:r>
              <w:rPr>
                <w:rFonts w:hint="eastAsia" w:ascii="等线" w:hAnsi="等线" w:eastAsia="仿宋" w:cs="Times New Roman"/>
                <w:kern w:val="0"/>
                <w:szCs w:val="24"/>
                <w14:ligatures w14:val="none"/>
              </w:rPr>
              <w:t>通过扫码授权方式进行账号的绑定添加，并对账号发布的历史资讯自动同步。</w:t>
            </w:r>
          </w:p>
          <w:p w14:paraId="640EDCDE">
            <w:pPr>
              <w:widowControl w:val="0"/>
              <w:spacing w:line="240" w:lineRule="auto"/>
              <w:ind w:firstLine="0" w:firstLineChars="0"/>
              <w:jc w:val="both"/>
              <w:rPr>
                <w:rFonts w:ascii="等线" w:hAnsi="等线" w:eastAsia="仿宋" w:cs="Times New Roman"/>
                <w:kern w:val="0"/>
                <w:szCs w:val="24"/>
                <w14:ligatures w14:val="none"/>
              </w:rPr>
            </w:pPr>
            <w:r>
              <w:rPr>
                <w:rFonts w:hint="eastAsia" w:ascii="仿宋" w:hAnsi="仿宋" w:eastAsia="仿宋" w:cs="Times New Roman (正文 CS 字体)"/>
                <w:kern w:val="0"/>
                <w:szCs w:val="24"/>
                <w14:ligatures w14:val="none"/>
              </w:rPr>
              <w:t>▲</w:t>
            </w:r>
            <w:r>
              <w:rPr>
                <w:rFonts w:hint="eastAsia" w:ascii="等线" w:hAnsi="等线" w:eastAsia="仿宋" w:cs="Times New Roman"/>
                <w:kern w:val="0"/>
                <w:szCs w:val="24"/>
                <w14:ligatures w14:val="none"/>
              </w:rPr>
              <w:t>6.中标人承诺实施周期内完成后续平台扩展媒体平台接入，如小红书，百家号等主流新媒体，厂商需及时同步学校管理人员，进行升级，提供新媒体平台的免费升级服务。</w:t>
            </w:r>
          </w:p>
          <w:p w14:paraId="293C19A0">
            <w:pPr>
              <w:widowControl w:val="0"/>
              <w:spacing w:line="240" w:lineRule="auto"/>
              <w:ind w:firstLine="0" w:firstLineChars="0"/>
              <w:jc w:val="both"/>
              <w:rPr>
                <w:rFonts w:ascii="仿宋" w:hAnsi="仿宋" w:eastAsia="仿宋" w:cs="Times New Roman (正文 CS 字体)"/>
                <w:b/>
                <w:bCs/>
                <w:kern w:val="0"/>
                <w:szCs w:val="24"/>
                <w14:ligatures w14:val="none"/>
              </w:rPr>
            </w:pPr>
            <w:r>
              <w:rPr>
                <w:rFonts w:hint="eastAsia" w:ascii="仿宋" w:hAnsi="仿宋" w:eastAsia="仿宋" w:cs="Times New Roman (正文 CS 字体)"/>
                <w:b/>
                <w:bCs/>
                <w:kern w:val="0"/>
                <w:szCs w:val="24"/>
                <w14:ligatures w14:val="none"/>
              </w:rPr>
              <w:t>新媒体生产管理</w:t>
            </w:r>
          </w:p>
          <w:p w14:paraId="01AFD4F6">
            <w:pPr>
              <w:widowControl w:val="0"/>
              <w:adjustRightInd w:val="0"/>
              <w:snapToGrid w:val="0"/>
              <w:spacing w:line="240" w:lineRule="auto"/>
              <w:ind w:firstLine="0" w:firstLineChars="0"/>
              <w:jc w:val="both"/>
              <w:rPr>
                <w:rFonts w:ascii="仿宋" w:hAnsi="仿宋" w:eastAsia="仿宋" w:cs="Times New Roman (正文 CS 字体)"/>
                <w:kern w:val="0"/>
                <w:szCs w:val="24"/>
                <w14:ligatures w14:val="none"/>
              </w:rPr>
            </w:pPr>
            <w:bookmarkStart w:id="1" w:name="_Hlk172188844"/>
            <w:r>
              <w:rPr>
                <w:rFonts w:hint="eastAsia" w:ascii="仿宋" w:hAnsi="仿宋" w:eastAsia="仿宋" w:cs="Times New Roman (正文 CS 字体)"/>
                <w:kern w:val="0"/>
                <w:szCs w:val="24"/>
                <w14:ligatures w14:val="none"/>
              </w:rPr>
              <w:t>▲1.集成秀米、135等第三方编辑器，编辑器图文库内的素材与新媒体内容同步</w:t>
            </w:r>
            <w:bookmarkEnd w:id="1"/>
            <w:r>
              <w:rPr>
                <w:rFonts w:hint="eastAsia" w:ascii="仿宋" w:hAnsi="仿宋" w:eastAsia="仿宋" w:cs="Times New Roman (正文 CS 字体)"/>
                <w:kern w:val="0"/>
                <w:szCs w:val="24"/>
                <w14:ligatures w14:val="none"/>
              </w:rPr>
              <w:t>，也可以新建一组图文，可以设置图文的标题、作者、封面、摘要、原文链接、正文等信息。</w:t>
            </w:r>
          </w:p>
          <w:p w14:paraId="51899FEE">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▲2.开放系统接口，支持与校方已有或新建投稿系统，媒资管理系统集成，可以直接选择稿件或图文进行内容编辑。</w:t>
            </w:r>
          </w:p>
          <w:p w14:paraId="27C96101">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▲3.支持在无需安装任何客户端插件情况下，原样导入office（word、excel、ppt等）文档、PDF文档及音视频文件内容并在线浏览。</w:t>
            </w:r>
          </w:p>
          <w:p w14:paraId="739B314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▲4.支持按权限对微信公众号、微博、抖音、B站内容发布审核流程进行设置，支持审核记录、修改记录留痕，包括每次审核的人员、状态等信息。</w:t>
            </w:r>
          </w:p>
          <w:p w14:paraId="23BEBA21">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▲5.所有群发的文章支持历史文章查看，部门管理员可对本部门已发出的文章进行撤除。</w:t>
            </w:r>
          </w:p>
          <w:p w14:paraId="66F73A2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6.支持新媒体账号编辑内容直接发送和存入草稿功能，已发送的内容在已发列表展示，支持按发布时间范围、发布状态、关键字等维度进行检索；未发布在我的草稿中展示，提供按创建时间、关键字两个维度的检索，并且提供彻底删除和编辑修改的功能。</w:t>
            </w:r>
          </w:p>
          <w:p w14:paraId="357F1D3F">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▲7.要求支持与网站群资讯同步，网站群发布新闻时，可选择将文章推送到有权限的多媒体账号；支持资讯多账号共享和推荐。（投标文件中提供承诺函及功能截图）</w:t>
            </w:r>
          </w:p>
          <w:p w14:paraId="6891D85F">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▲8.支持在新媒体编辑器中对接学校现有内容安全工具，直接在编辑文章时对于敏感问题进行扫描，给出修改建议一键替换，应确保一键替换内容的合规性。（投标文件中提供承诺函及功能截图）</w:t>
            </w:r>
          </w:p>
          <w:p w14:paraId="67D6F94E">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9.自动校阅能力：支持在新媒体账号发文的多级审核流程中任意环节设置文章内容校阅，在编辑数据后的自动校阅能力，校阅内容包含敏感词、易错词、隐私、链接以及附件。（需提供第三方检测机构出具此项功能检测报告及系统截图证明材料）</w:t>
            </w:r>
          </w:p>
          <w:p w14:paraId="0F1A9225">
            <w:pPr>
              <w:widowControl w:val="0"/>
              <w:spacing w:line="240" w:lineRule="auto"/>
              <w:ind w:firstLine="0" w:firstLineChars="0"/>
              <w:jc w:val="both"/>
              <w:rPr>
                <w:rFonts w:hint="eastAsia"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▲10.内容安全工具的校阅准确性，文字标点差错的识别精准率不低于90%；知识型差错的识别精准率不低于90%；内容导向风险识别的精准率不低于95%。</w:t>
            </w:r>
          </w:p>
          <w:p w14:paraId="159F6EAC">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11.支持“三审三校”流程，支持审核流程自定义，预置不同流程，可以设置流程的步骤，步骤所拥有的权限，设置审核人员为同机构人员或上级机构人员，可设置退回操作指定步骤。（需提供第三方检测机构出具此项功能检测报告及系统截图证明材料）。</w:t>
            </w:r>
          </w:p>
          <w:p w14:paraId="3E26903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▲12.支持在新媒体中心发布或撤回文章时不需要二次扫码登录。</w:t>
            </w:r>
          </w:p>
          <w:p w14:paraId="6877C122">
            <w:pPr>
              <w:widowControl w:val="0"/>
              <w:spacing w:line="240" w:lineRule="auto"/>
              <w:ind w:firstLine="0" w:firstLineChars="0"/>
              <w:jc w:val="both"/>
              <w:rPr>
                <w:rFonts w:ascii="仿宋" w:hAnsi="仿宋" w:eastAsia="仿宋" w:cs="Times New Roman (正文 CS 字体)"/>
                <w:b/>
                <w:bCs/>
                <w:kern w:val="0"/>
                <w:szCs w:val="24"/>
                <w14:ligatures w14:val="none"/>
              </w:rPr>
            </w:pPr>
            <w:r>
              <w:rPr>
                <w:rFonts w:hint="eastAsia" w:ascii="仿宋" w:hAnsi="仿宋" w:eastAsia="仿宋" w:cs="Times New Roman (正文 CS 字体)"/>
                <w:b/>
                <w:bCs/>
                <w:kern w:val="0"/>
                <w:szCs w:val="24"/>
                <w14:ligatures w14:val="none"/>
              </w:rPr>
              <w:t>运营数据统计</w:t>
            </w:r>
          </w:p>
          <w:p w14:paraId="55391ACE">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w:t>
            </w:r>
            <w:r>
              <w:rPr>
                <w:rFonts w:ascii="仿宋" w:hAnsi="仿宋" w:eastAsia="仿宋" w:cs="Times New Roman (正文 CS 字体)"/>
                <w:kern w:val="0"/>
                <w:szCs w:val="24"/>
                <w14:ligatures w14:val="none"/>
              </w:rPr>
              <w:t>1.</w:t>
            </w:r>
            <w:r>
              <w:rPr>
                <w:rFonts w:hint="eastAsia" w:ascii="仿宋" w:hAnsi="仿宋" w:eastAsia="仿宋" w:cs="Times New Roman (正文 CS 字体)"/>
                <w:kern w:val="0"/>
                <w:szCs w:val="24"/>
                <w14:ligatures w14:val="none"/>
              </w:rPr>
              <w:t>支持</w:t>
            </w:r>
            <w:r>
              <w:rPr>
                <w:rFonts w:ascii="仿宋" w:hAnsi="仿宋" w:eastAsia="仿宋" w:cs="Times New Roman (正文 CS 字体)"/>
                <w:kern w:val="0"/>
                <w:szCs w:val="24"/>
                <w14:ligatures w14:val="none"/>
              </w:rPr>
              <w:t>对</w:t>
            </w:r>
            <w:r>
              <w:rPr>
                <w:rFonts w:hint="eastAsia" w:ascii="仿宋" w:hAnsi="仿宋" w:eastAsia="仿宋" w:cs="Times New Roman (正文 CS 字体)"/>
                <w:kern w:val="0"/>
                <w:szCs w:val="24"/>
                <w14:ligatures w14:val="none"/>
              </w:rPr>
              <w:t>平台统一管理的</w:t>
            </w:r>
            <w:r>
              <w:rPr>
                <w:rFonts w:ascii="仿宋" w:hAnsi="仿宋" w:eastAsia="仿宋" w:cs="Times New Roman (正文 CS 字体)"/>
                <w:kern w:val="0"/>
                <w:szCs w:val="24"/>
                <w14:ligatures w14:val="none"/>
              </w:rPr>
              <w:t>新媒体运营数据进行统计及分析</w:t>
            </w:r>
            <w:r>
              <w:rPr>
                <w:rFonts w:hint="eastAsia" w:ascii="仿宋" w:hAnsi="仿宋" w:eastAsia="仿宋" w:cs="Times New Roman (正文 CS 字体)"/>
                <w:kern w:val="0"/>
                <w:szCs w:val="24"/>
                <w14:ligatures w14:val="none"/>
              </w:rPr>
              <w:t>，</w:t>
            </w:r>
            <w:r>
              <w:rPr>
                <w:rFonts w:ascii="仿宋" w:hAnsi="仿宋" w:eastAsia="仿宋" w:cs="Times New Roman (正文 CS 字体)"/>
                <w:kern w:val="0"/>
                <w:szCs w:val="24"/>
                <w14:ligatures w14:val="none"/>
              </w:rPr>
              <w:t>按照时间维度</w:t>
            </w:r>
            <w:r>
              <w:rPr>
                <w:rFonts w:hint="eastAsia" w:ascii="仿宋" w:hAnsi="仿宋" w:eastAsia="仿宋" w:cs="Times New Roman (正文 CS 字体)"/>
                <w:kern w:val="0"/>
                <w:szCs w:val="24"/>
                <w14:ligatures w14:val="none"/>
              </w:rPr>
              <w:t>、媒体维度</w:t>
            </w:r>
            <w:r>
              <w:rPr>
                <w:rFonts w:ascii="仿宋" w:hAnsi="仿宋" w:eastAsia="仿宋" w:cs="Times New Roman (正文 CS 字体)"/>
                <w:kern w:val="0"/>
                <w:szCs w:val="24"/>
                <w14:ligatures w14:val="none"/>
              </w:rPr>
              <w:t>查看公众号总数、</w:t>
            </w:r>
            <w:r>
              <w:rPr>
                <w:rFonts w:hint="eastAsia" w:ascii="仿宋" w:hAnsi="仿宋" w:eastAsia="仿宋" w:cs="Times New Roman (正文 CS 字体)"/>
                <w:kern w:val="0"/>
                <w:szCs w:val="24"/>
                <w14:ligatures w14:val="none"/>
              </w:rPr>
              <w:t>所有账号发文量、阅读量、粉丝数量</w:t>
            </w:r>
            <w:r>
              <w:rPr>
                <w:rFonts w:ascii="仿宋" w:hAnsi="仿宋" w:eastAsia="仿宋" w:cs="Times New Roman (正文 CS 字体)"/>
                <w:kern w:val="0"/>
                <w:szCs w:val="24"/>
                <w14:ligatures w14:val="none"/>
              </w:rPr>
              <w:t>。</w:t>
            </w:r>
          </w:p>
          <w:p w14:paraId="0AC6286E">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▲2</w:t>
            </w:r>
            <w:r>
              <w:rPr>
                <w:rFonts w:ascii="仿宋" w:hAnsi="仿宋" w:eastAsia="仿宋" w:cs="Times New Roman (正文 CS 字体)"/>
                <w:kern w:val="0"/>
                <w:szCs w:val="24"/>
                <w14:ligatures w14:val="none"/>
              </w:rPr>
              <w:t>.支持对热门文章和近期活跃的账号，</w:t>
            </w:r>
            <w:r>
              <w:rPr>
                <w:rFonts w:hint="eastAsia" w:ascii="仿宋" w:hAnsi="仿宋" w:eastAsia="仿宋" w:cs="Times New Roman (正文 CS 字体)"/>
                <w:kern w:val="0"/>
                <w:szCs w:val="24"/>
                <w14:ligatures w14:val="none"/>
              </w:rPr>
              <w:t>热门、爆款文章，展示文章的阅读、转发、点赞数量以及文章隶属部门。</w:t>
            </w:r>
          </w:p>
          <w:p w14:paraId="6F09C466">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▲3.支持整体的数据汇总展示，显示截止当前所有媒体历史累计发文总量和当日发文总量数值，且数据实时更新变化。</w:t>
            </w:r>
          </w:p>
          <w:p w14:paraId="64C05EFC">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4.支持对各部门媒体账号根据新媒体指数排行，根据整体传播力（日均阅读数、日均评论数、日均分享数、日均收藏数）、峰值传播力（最大阅读数、最大评论数、最大分享数、最大收藏数）、篇均传播力（篇均阅读数、篇均评论数、篇均分享数、篇均收藏数）、联动传播力（朋友圈日均分享数、朋友圈日均阅读数、日均分享人次、日均阅读人次、净增粉丝数）四个维度进行指数计算，可查看详细分项得分指导日常新媒体运营工作。（提供系统操作界面截图）</w:t>
            </w:r>
          </w:p>
          <w:p w14:paraId="4308D2F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▲5.根据媒体类型进行各媒体的发文数量汇总，分别展示当日发文量和总发文量的数值，反映各媒体发文的数量成果。</w:t>
            </w:r>
          </w:p>
          <w:p w14:paraId="449263BD">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▲6.支持展示网站、公众号、微博等各个媒体平台，对总发文量及不同渠道账号访问量进行汇总展示。</w:t>
            </w:r>
          </w:p>
          <w:p w14:paraId="3F0915DD">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▲7.支持以</w:t>
            </w:r>
            <w:r>
              <w:rPr>
                <w:rFonts w:ascii="仿宋" w:hAnsi="仿宋" w:eastAsia="仿宋" w:cs="Times New Roman (正文 CS 字体)"/>
                <w:kern w:val="0"/>
                <w:szCs w:val="24"/>
                <w14:ligatures w14:val="none"/>
              </w:rPr>
              <w:t>分布矩形树图</w:t>
            </w:r>
            <w:r>
              <w:rPr>
                <w:rFonts w:hint="eastAsia" w:ascii="仿宋" w:hAnsi="仿宋" w:eastAsia="仿宋" w:cs="Times New Roman (正文 CS 字体)"/>
                <w:kern w:val="0"/>
                <w:szCs w:val="24"/>
                <w14:ligatures w14:val="none"/>
              </w:rPr>
              <w:t>进行访问量的展示，支持以热力图形式进行访问时间段的展示。</w:t>
            </w:r>
          </w:p>
          <w:p w14:paraId="5A988EB5">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▲8.支持以新增、取消、净增、累计关注等维度进行用户数据的折线图展示。</w:t>
            </w:r>
          </w:p>
          <w:p w14:paraId="29A7A446">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▲9.支持按照公众号、微博、抖音等媒体类型，分别展示各媒体平台近20篇热门文章，方便了解内容的传播情况。</w:t>
            </w:r>
          </w:p>
          <w:p w14:paraId="1F55E833">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▲10.支持按照部门统计各部门负责的新媒体账号发文量、阅读量、新增粉丝数量，可以按照月度、年度进行展示。</w:t>
            </w:r>
          </w:p>
          <w:p w14:paraId="3DB9AD0B">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▲11.新媒体中心运营数据统计可视化展示支持根据学校数据分析需求自定义统计维度，包括按时间、按传播渠道、按用户行为等进行数据展示，支持数据导出。</w:t>
            </w:r>
          </w:p>
          <w:p w14:paraId="1730418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▲12.支持新媒体发文热门词语统计，支持以词云图形式展示热词。</w:t>
            </w:r>
          </w:p>
        </w:tc>
        <w:tc>
          <w:tcPr>
            <w:tcW w:w="2017" w:type="dxa"/>
            <w:vAlign w:val="center"/>
          </w:tcPr>
          <w:p w14:paraId="280023CF">
            <w:pPr>
              <w:widowControl w:val="0"/>
              <w:spacing w:line="240" w:lineRule="auto"/>
              <w:ind w:firstLine="0" w:firstLineChars="0"/>
              <w:jc w:val="both"/>
              <w:rPr>
                <w:rFonts w:hint="eastAsia" w:ascii="仿宋" w:hAnsi="仿宋" w:eastAsia="仿宋" w:cs="Times New Roman (正文 CS 字体)"/>
                <w:kern w:val="0"/>
                <w:szCs w:val="24"/>
                <w14:ligatures w14:val="none"/>
              </w:rPr>
            </w:pPr>
          </w:p>
        </w:tc>
      </w:tr>
      <w:tr w14:paraId="60DF2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jc w:val="center"/>
        </w:trPr>
        <w:tc>
          <w:tcPr>
            <w:tcW w:w="722" w:type="dxa"/>
            <w:vAlign w:val="center"/>
          </w:tcPr>
          <w:p w14:paraId="3A7FA6E7">
            <w:pPr>
              <w:widowControl w:val="0"/>
              <w:numPr>
                <w:ilvl w:val="0"/>
                <w:numId w:val="1"/>
              </w:numPr>
              <w:adjustRightInd w:val="0"/>
              <w:snapToGrid w:val="0"/>
              <w:spacing w:line="500" w:lineRule="exact"/>
              <w:ind w:firstLine="0" w:firstLineChars="0"/>
              <w:jc w:val="both"/>
              <w:rPr>
                <w:rFonts w:ascii="仿宋" w:hAnsi="仿宋" w:eastAsia="仿宋" w:cs="Times New Roman (正文 CS 字体)"/>
                <w:kern w:val="0"/>
                <w:szCs w:val="24"/>
                <w14:ligatures w14:val="none"/>
              </w:rPr>
            </w:pPr>
          </w:p>
        </w:tc>
        <w:tc>
          <w:tcPr>
            <w:tcW w:w="1715" w:type="dxa"/>
            <w:vAlign w:val="center"/>
          </w:tcPr>
          <w:p w14:paraId="4E32B8B8">
            <w:pPr>
              <w:widowControl w:val="0"/>
              <w:adjustRightInd w:val="0"/>
              <w:snapToGrid w:val="0"/>
              <w:spacing w:line="500" w:lineRule="exact"/>
              <w:ind w:firstLine="0" w:firstLineChars="0"/>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系统集成与对接</w:t>
            </w:r>
          </w:p>
        </w:tc>
        <w:tc>
          <w:tcPr>
            <w:tcW w:w="9720" w:type="dxa"/>
            <w:vAlign w:val="center"/>
          </w:tcPr>
          <w:p w14:paraId="0AE54BA8">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▲1.系统需与学校统一身份认证系统和公共数据平台进行对接，获取相关组织机构、人员信息。账号权限将随着组织架构变化、人员变动及时更新。</w:t>
            </w:r>
          </w:p>
          <w:p w14:paraId="19941339">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2.承诺与我校现有网站群系统进行无缝集成，实现数据的互通共享，确保新媒体中心稿件可直接发布在校门户网站、新闻网及各二级网站上；要求系统与我校网站群各级用户及权限进行集成，共用用户组织架构及角色权限。</w:t>
            </w:r>
          </w:p>
          <w:p w14:paraId="66A09B57">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▲3.与学校待办中心、消息中心等信息推送通道进行对接，同步业务消息的统一推送提醒。</w:t>
            </w:r>
          </w:p>
          <w:p w14:paraId="1C2BCA23">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▲4.基于云原生高可用容器云建设标准和学校集约化资源建设规范，本次项目所涉及的新服务需要以容器的模式部署在学校现有网站群的容器云集群环境中。（提供承诺函）</w:t>
            </w:r>
          </w:p>
          <w:p w14:paraId="60B2251B">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5.需完成学校网站群平台的通知公告与资讯中心的同步集成，实现用户网站群通知公告在融合门户的实时同步展示。（投标商需在中标后3个工作日内提供学校融合门户原厂商提供的授权函并加盖原厂公章，承诺原厂商可以无条件协助进行现有平台数据与服务集成，并配合项目上线后的运维协助）</w:t>
            </w:r>
          </w:p>
        </w:tc>
        <w:tc>
          <w:tcPr>
            <w:tcW w:w="2017" w:type="dxa"/>
            <w:vAlign w:val="center"/>
          </w:tcPr>
          <w:p w14:paraId="0A4D10D5">
            <w:pPr>
              <w:widowControl w:val="0"/>
              <w:spacing w:line="240" w:lineRule="auto"/>
              <w:ind w:firstLine="0" w:firstLineChars="0"/>
              <w:jc w:val="both"/>
              <w:rPr>
                <w:rFonts w:hint="eastAsia" w:ascii="仿宋" w:hAnsi="仿宋" w:eastAsia="仿宋" w:cs="Times New Roman (正文 CS 字体)"/>
                <w:kern w:val="0"/>
                <w:szCs w:val="24"/>
                <w14:ligatures w14:val="none"/>
              </w:rPr>
            </w:pPr>
          </w:p>
        </w:tc>
      </w:tr>
      <w:tr w14:paraId="583F2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Align w:val="center"/>
          </w:tcPr>
          <w:p w14:paraId="01F207E4">
            <w:pPr>
              <w:widowControl w:val="0"/>
              <w:numPr>
                <w:ilvl w:val="0"/>
                <w:numId w:val="1"/>
              </w:numPr>
              <w:adjustRightInd w:val="0"/>
              <w:snapToGrid w:val="0"/>
              <w:spacing w:line="500" w:lineRule="exact"/>
              <w:ind w:firstLine="0" w:firstLineChars="0"/>
              <w:jc w:val="both"/>
              <w:rPr>
                <w:rFonts w:ascii="仿宋" w:hAnsi="仿宋" w:eastAsia="仿宋" w:cs="Times New Roman (正文 CS 字体)"/>
                <w:kern w:val="0"/>
                <w:szCs w:val="24"/>
                <w14:ligatures w14:val="none"/>
              </w:rPr>
            </w:pPr>
          </w:p>
        </w:tc>
        <w:tc>
          <w:tcPr>
            <w:tcW w:w="1715" w:type="dxa"/>
            <w:vAlign w:val="center"/>
          </w:tcPr>
          <w:p w14:paraId="3D255D51">
            <w:pPr>
              <w:widowControl w:val="0"/>
              <w:adjustRightInd w:val="0"/>
              <w:snapToGrid w:val="0"/>
              <w:spacing w:line="500" w:lineRule="exact"/>
              <w:ind w:firstLine="0" w:firstLineChars="0"/>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运维服务与保障</w:t>
            </w:r>
          </w:p>
        </w:tc>
        <w:tc>
          <w:tcPr>
            <w:tcW w:w="9720" w:type="dxa"/>
            <w:vAlign w:val="center"/>
          </w:tcPr>
          <w:p w14:paraId="0C8D84BD">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▲1.中标人负责部署调试，自合同正式签署生效起3个月内完成安装、调试、试运行，并达到采购人的验收要求。投标方需要给出预实施工期进度表。</w:t>
            </w:r>
          </w:p>
          <w:p w14:paraId="1CC277DA">
            <w:pPr>
              <w:widowControl w:val="0"/>
              <w:spacing w:line="240" w:lineRule="auto"/>
              <w:ind w:firstLine="0" w:firstLineChars="0"/>
              <w:jc w:val="both"/>
              <w:rPr>
                <w:rFonts w:hint="eastAsia"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▲2.全面做好技术服务支撑，免费质保期</w:t>
            </w:r>
            <w:r>
              <w:rPr>
                <w:rFonts w:hint="eastAsia" w:ascii="仿宋" w:hAnsi="仿宋" w:eastAsia="仿宋" w:cs="Times New Roman (正文 CS 字体)"/>
                <w:kern w:val="0"/>
                <w:szCs w:val="24"/>
                <w:lang w:val="en-US" w:eastAsia="zh-CN"/>
                <w14:ligatures w14:val="none"/>
              </w:rPr>
              <w:t>2</w:t>
            </w:r>
            <w:r>
              <w:rPr>
                <w:rFonts w:hint="eastAsia" w:ascii="仿宋" w:hAnsi="仿宋" w:eastAsia="仿宋" w:cs="Times New Roman (正文 CS 字体)"/>
                <w:kern w:val="0"/>
                <w:szCs w:val="24"/>
                <w14:ligatures w14:val="none"/>
              </w:rPr>
              <w:t>年，质保期内免费提供bug修复、版本升级、技术支持；确保系统顺利使用和运维。</w:t>
            </w:r>
          </w:p>
          <w:p w14:paraId="2222B99D">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3.中标人提供不限次数、不限制人数的培训服务，确保每位系统操作人员能够进入新媒体平台的后台并进行规范操作，并确保学校的技术人员能够熟练使用新媒体系统，专业技术人员能独立对系统进行维护，能进行简单故障问题的处理。</w:t>
            </w:r>
          </w:p>
          <w:p w14:paraId="293791FB">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▲4.每年提供不少于4次的安全巡检服务；针对重大问题，中标人需派遣工程师，第一时间到达学校进行问题处理。</w:t>
            </w:r>
            <w:r>
              <w:rPr>
                <w:rFonts w:hint="eastAsia" w:ascii="仿宋" w:hAnsi="仿宋" w:eastAsia="仿宋" w:cs="Times New Roman (正文 CS 字体)"/>
                <w:kern w:val="0"/>
                <w14:ligatures w14:val="none"/>
              </w:rPr>
              <w:t>巡检需涵盖操作系统、中间件、平台安全、平台运行情况等方面，方便我校全面了解网站的使用情况和潜在问题，提早预防，避免故障发生，提供每季度1次巡检，并出具巡检报告。</w:t>
            </w:r>
          </w:p>
          <w:p w14:paraId="53E80AC5">
            <w:pPr>
              <w:widowControl w:val="0"/>
              <w:spacing w:line="240" w:lineRule="auto"/>
              <w:ind w:firstLine="0" w:firstLineChars="0"/>
              <w:jc w:val="both"/>
              <w:rPr>
                <w:rFonts w:ascii="仿宋" w:hAnsi="仿宋" w:eastAsia="仿宋" w:cs="Times New Roman (正文 CS 字体)"/>
                <w:kern w:val="0"/>
                <w:szCs w:val="24"/>
                <w14:ligatures w14:val="none"/>
              </w:rPr>
            </w:pPr>
            <w:r>
              <w:rPr>
                <w:rFonts w:hint="eastAsia" w:ascii="仿宋" w:hAnsi="仿宋" w:eastAsia="仿宋" w:cs="Times New Roman (正文 CS 字体)"/>
                <w:kern w:val="0"/>
                <w:szCs w:val="24"/>
                <w14:ligatures w14:val="none"/>
              </w:rPr>
              <w:t>▲5.提供全面的日志分析功能，系统应用日志保存时间不少于180天，可对系统访问日志、数据流量日志等进行统一记录、统一分析、统一展现。</w:t>
            </w:r>
          </w:p>
        </w:tc>
        <w:tc>
          <w:tcPr>
            <w:tcW w:w="2017" w:type="dxa"/>
            <w:vAlign w:val="center"/>
          </w:tcPr>
          <w:p w14:paraId="06DB9E60">
            <w:pPr>
              <w:widowControl w:val="0"/>
              <w:spacing w:line="240" w:lineRule="auto"/>
              <w:ind w:firstLine="0" w:firstLineChars="0"/>
              <w:jc w:val="both"/>
              <w:rPr>
                <w:rFonts w:hint="eastAsia" w:ascii="仿宋" w:hAnsi="仿宋" w:eastAsia="仿宋" w:cs="Times New Roman (正文 CS 字体)"/>
                <w:kern w:val="0"/>
                <w:szCs w:val="24"/>
                <w14:ligatures w14:val="none"/>
              </w:rPr>
            </w:pPr>
          </w:p>
        </w:tc>
      </w:tr>
      <w:tr w14:paraId="052C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4174" w:type="dxa"/>
            <w:gridSpan w:val="4"/>
            <w:vAlign w:val="center"/>
          </w:tcPr>
          <w:p w14:paraId="21EBCD17">
            <w:pPr>
              <w:widowControl w:val="0"/>
              <w:spacing w:line="240" w:lineRule="auto"/>
              <w:ind w:firstLine="0" w:firstLineChars="0"/>
              <w:jc w:val="both"/>
              <w:rPr>
                <w:rFonts w:hint="default" w:ascii="仿宋" w:hAnsi="仿宋" w:eastAsia="仿宋" w:cs="Times New Roman (正文 CS 字体)"/>
                <w:kern w:val="0"/>
                <w:szCs w:val="24"/>
                <w:lang w:val="en-US" w:eastAsia="zh-CN"/>
                <w14:ligatures w14:val="none"/>
              </w:rPr>
            </w:pPr>
            <w:r>
              <w:rPr>
                <w:rFonts w:hint="eastAsia" w:ascii="仿宋" w:hAnsi="仿宋" w:eastAsia="仿宋" w:cs="Times New Roman (正文 CS 字体)"/>
                <w:kern w:val="0"/>
                <w:szCs w:val="24"/>
                <w:lang w:val="en-US" w:eastAsia="zh-CN"/>
                <w14:ligatures w14:val="none"/>
              </w:rPr>
              <w:t>合计（盖章）：</w:t>
            </w:r>
          </w:p>
        </w:tc>
      </w:tr>
    </w:tbl>
    <w:p w14:paraId="412BEF12">
      <w:pPr>
        <w:widowControl w:val="0"/>
        <w:spacing w:line="240" w:lineRule="auto"/>
        <w:ind w:firstLine="0" w:firstLineChars="0"/>
        <w:jc w:val="both"/>
        <w:rPr>
          <w:rFonts w:hint="eastAsia" w:ascii="仿宋" w:hAnsi="仿宋" w:eastAsia="仿宋" w:cs="Times New Roman (正文 CS 字体)"/>
          <w:kern w:val="0"/>
          <w:szCs w:val="24"/>
          <w:lang w:val="en-US" w:eastAsia="zh-CN"/>
          <w14:ligatures w14:val="none"/>
        </w:rPr>
      </w:pPr>
      <w:r>
        <w:rPr>
          <w:rFonts w:hint="eastAsia" w:ascii="仿宋" w:hAnsi="仿宋" w:eastAsia="仿宋" w:cs="Times New Roman (正文 CS 字体)"/>
          <w:kern w:val="0"/>
          <w:szCs w:val="24"/>
          <w:lang w:val="en-US" w:eastAsia="zh-CN"/>
          <w14:ligatures w14:val="none"/>
        </w:rPr>
        <w:t>备注：本项目各分项报价均为含税全费用价格，已包含但不限于税金、管理费、人工费、运输费、利润、风险费等完成本项目全部工作内容所需的一切费用。</w:t>
      </w:r>
    </w:p>
    <w:sectPr>
      <w:headerReference r:id="rId7" w:type="first"/>
      <w:footerReference r:id="rId10" w:type="first"/>
      <w:headerReference r:id="rId5" w:type="default"/>
      <w:footerReference r:id="rId8" w:type="default"/>
      <w:headerReference r:id="rId6" w:type="even"/>
      <w:footerReference r:id="rId9" w:type="even"/>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imes New Roman (正文 CS 字体)">
    <w:altName w:val="宋体"/>
    <w:panose1 w:val="00000000000000000000"/>
    <w:charset w:val="86"/>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019C7">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7D7AA">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9F53F">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EE0E6">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07532">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00C92">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A4168F"/>
    <w:multiLevelType w:val="multilevel"/>
    <w:tmpl w:val="35A4168F"/>
    <w:lvl w:ilvl="0" w:tentative="0">
      <w:start w:val="1"/>
      <w:numFmt w:val="decimal"/>
      <w:lvlText w:val="%1"/>
      <w:lvlJc w:val="left"/>
      <w:pPr>
        <w:ind w:left="440" w:hanging="440"/>
      </w:pPr>
      <w:rPr>
        <w:rFonts w:hint="eastAsia"/>
      </w:rPr>
    </w:lvl>
    <w:lvl w:ilvl="1" w:tentative="0">
      <w:start w:val="1"/>
      <w:numFmt w:val="decimal"/>
      <w:lvlText w:val="%2."/>
      <w:lvlJc w:val="left"/>
      <w:pPr>
        <w:ind w:left="800" w:hanging="360"/>
      </w:pPr>
      <w:rPr>
        <w:rFonts w:hint="eastAsia"/>
      </w:rPr>
    </w:lvl>
    <w:lvl w:ilvl="2" w:tentative="0">
      <w:start w:val="2"/>
      <w:numFmt w:val="bullet"/>
      <w:lvlText w:val="★"/>
      <w:lvlJc w:val="left"/>
      <w:pPr>
        <w:ind w:left="1240" w:hanging="360"/>
      </w:pPr>
      <w:rPr>
        <w:rFonts w:hint="eastAsia" w:ascii="仿宋" w:hAnsi="仿宋" w:eastAsia="仿宋" w:cs="Times New Roman (正文 CS 字体)"/>
      </w:r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3A67E6E"/>
    <w:rsid w:val="00055F04"/>
    <w:rsid w:val="00074ED6"/>
    <w:rsid w:val="000D246C"/>
    <w:rsid w:val="000F1646"/>
    <w:rsid w:val="00133BBF"/>
    <w:rsid w:val="00313888"/>
    <w:rsid w:val="003333E0"/>
    <w:rsid w:val="003A1A78"/>
    <w:rsid w:val="003C3705"/>
    <w:rsid w:val="00505B68"/>
    <w:rsid w:val="005163D0"/>
    <w:rsid w:val="0052485E"/>
    <w:rsid w:val="00584C17"/>
    <w:rsid w:val="00585458"/>
    <w:rsid w:val="0064413F"/>
    <w:rsid w:val="00692AC9"/>
    <w:rsid w:val="00896737"/>
    <w:rsid w:val="009411DE"/>
    <w:rsid w:val="00AC44A0"/>
    <w:rsid w:val="00CC5476"/>
    <w:rsid w:val="00CD1E2B"/>
    <w:rsid w:val="00CE219D"/>
    <w:rsid w:val="00D46639"/>
    <w:rsid w:val="00E427A9"/>
    <w:rsid w:val="00EC2D60"/>
    <w:rsid w:val="00EF61A4"/>
    <w:rsid w:val="03B70C87"/>
    <w:rsid w:val="057759AE"/>
    <w:rsid w:val="161B669A"/>
    <w:rsid w:val="28D9041B"/>
    <w:rsid w:val="2E980879"/>
    <w:rsid w:val="2F0517DE"/>
    <w:rsid w:val="2F6A001E"/>
    <w:rsid w:val="310E0E7D"/>
    <w:rsid w:val="3179279B"/>
    <w:rsid w:val="3AFBD266"/>
    <w:rsid w:val="4E86609F"/>
    <w:rsid w:val="51E6296E"/>
    <w:rsid w:val="59C53F20"/>
    <w:rsid w:val="5ABA3CA0"/>
    <w:rsid w:val="5B3D3F8A"/>
    <w:rsid w:val="5D80043D"/>
    <w:rsid w:val="6B056872"/>
    <w:rsid w:val="6B3B2294"/>
    <w:rsid w:val="723E2669"/>
    <w:rsid w:val="74B86703"/>
    <w:rsid w:val="753C37D8"/>
    <w:rsid w:val="764D240D"/>
    <w:rsid w:val="7B034450"/>
    <w:rsid w:val="7FD980BE"/>
    <w:rsid w:val="D3A67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200" w:firstLineChars="200"/>
    </w:pPr>
    <w:rPr>
      <w:rFonts w:ascii="Arial" w:hAnsi="Arial" w:eastAsia="微软雅黑" w:cstheme="minorBidi"/>
      <w:kern w:val="2"/>
      <w:sz w:val="24"/>
      <w:szCs w:val="22"/>
      <w:lang w:val="en-US" w:eastAsia="zh-CN" w:bidi="ar-SA"/>
      <w14:ligatures w14:val="standardContextual"/>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style>
  <w:style w:type="paragraph" w:styleId="3">
    <w:name w:val="footer"/>
    <w:basedOn w:val="1"/>
    <w:link w:val="11"/>
    <w:qFormat/>
    <w:uiPriority w:val="0"/>
    <w:pPr>
      <w:tabs>
        <w:tab w:val="center" w:pos="4153"/>
        <w:tab w:val="right" w:pos="8306"/>
      </w:tabs>
      <w:snapToGrid w:val="0"/>
      <w:spacing w:line="240" w:lineRule="auto"/>
    </w:pPr>
    <w:rPr>
      <w:sz w:val="18"/>
      <w:szCs w:val="18"/>
    </w:rPr>
  </w:style>
  <w:style w:type="paragraph" w:styleId="4">
    <w:name w:val="header"/>
    <w:basedOn w:val="1"/>
    <w:link w:val="10"/>
    <w:qFormat/>
    <w:uiPriority w:val="0"/>
    <w:pPr>
      <w:tabs>
        <w:tab w:val="center" w:pos="4153"/>
        <w:tab w:val="right" w:pos="8306"/>
      </w:tabs>
      <w:snapToGrid w:val="0"/>
      <w:spacing w:line="240" w:lineRule="auto"/>
      <w:jc w:val="center"/>
    </w:pPr>
    <w:rPr>
      <w:sz w:val="18"/>
      <w:szCs w:val="18"/>
    </w:rPr>
  </w:style>
  <w:style w:type="paragraph" w:styleId="5">
    <w:name w:val="annotation subject"/>
    <w:basedOn w:val="2"/>
    <w:next w:val="2"/>
    <w:link w:val="13"/>
    <w:qFormat/>
    <w:uiPriority w:val="0"/>
    <w:rPr>
      <w:b/>
      <w:bCs/>
    </w:rPr>
  </w:style>
  <w:style w:type="character" w:styleId="8">
    <w:name w:val="annotation reference"/>
    <w:basedOn w:val="7"/>
    <w:qFormat/>
    <w:uiPriority w:val="0"/>
    <w:rPr>
      <w:sz w:val="21"/>
      <w:szCs w:val="21"/>
    </w:rPr>
  </w:style>
  <w:style w:type="table" w:customStyle="1" w:styleId="9">
    <w:name w:val="网格型2"/>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7"/>
    <w:link w:val="4"/>
    <w:qFormat/>
    <w:uiPriority w:val="0"/>
    <w:rPr>
      <w:rFonts w:ascii="Arial" w:hAnsi="Arial" w:eastAsia="微软雅黑"/>
      <w:kern w:val="2"/>
      <w:sz w:val="18"/>
      <w:szCs w:val="18"/>
      <w14:ligatures w14:val="standardContextual"/>
    </w:rPr>
  </w:style>
  <w:style w:type="character" w:customStyle="1" w:styleId="11">
    <w:name w:val="页脚 字符"/>
    <w:basedOn w:val="7"/>
    <w:link w:val="3"/>
    <w:qFormat/>
    <w:uiPriority w:val="0"/>
    <w:rPr>
      <w:rFonts w:ascii="Arial" w:hAnsi="Arial" w:eastAsia="微软雅黑"/>
      <w:kern w:val="2"/>
      <w:sz w:val="18"/>
      <w:szCs w:val="18"/>
      <w14:ligatures w14:val="standardContextual"/>
    </w:rPr>
  </w:style>
  <w:style w:type="character" w:customStyle="1" w:styleId="12">
    <w:name w:val="批注文字 字符"/>
    <w:basedOn w:val="7"/>
    <w:link w:val="2"/>
    <w:qFormat/>
    <w:uiPriority w:val="0"/>
    <w:rPr>
      <w:rFonts w:ascii="Arial" w:hAnsi="Arial" w:eastAsia="微软雅黑"/>
      <w:kern w:val="2"/>
      <w:sz w:val="24"/>
      <w:szCs w:val="22"/>
      <w14:ligatures w14:val="standardContextual"/>
    </w:rPr>
  </w:style>
  <w:style w:type="character" w:customStyle="1" w:styleId="13">
    <w:name w:val="批注主题 字符"/>
    <w:basedOn w:val="12"/>
    <w:link w:val="5"/>
    <w:qFormat/>
    <w:uiPriority w:val="0"/>
    <w:rPr>
      <w:rFonts w:ascii="Arial" w:hAnsi="Arial" w:eastAsia="微软雅黑"/>
      <w:b/>
      <w:bCs/>
      <w:kern w:val="2"/>
      <w:sz w:val="24"/>
      <w:szCs w:val="22"/>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Version="6" SelectedStyle="\APASixthEditionOfficeOnline.xsl"/>
</file>

<file path=customXml/itemProps1.xml><?xml version="1.0" encoding="utf-8"?>
<ds:datastoreItem xmlns:ds="http://schemas.openxmlformats.org/officeDocument/2006/customXml" ds:itemID="{11BC5656-502F-4318-912E-6499CB6EC862}">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3281</Words>
  <Characters>3387</Characters>
  <Lines>23</Lines>
  <Paragraphs>6</Paragraphs>
  <TotalTime>3</TotalTime>
  <ScaleCrop>false</ScaleCrop>
  <LinksUpToDate>false</LinksUpToDate>
  <CharactersWithSpaces>3387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2026-01-04T05:59:00Z</dcterms:created>
  <dc:creator>Star</dc:creator>
  <cp:lastModifiedBy>果果</cp:lastModifiedBy>
  <dcterms:modified xsi:type="dcterms:W3CDTF">2026-01-13T04:20:23Z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3831E26F179CF82F9ECE5469FAE8A7E3_43</vt:lpwstr>
  </property>
  <property fmtid="{D5CDD505-2E9C-101B-9397-08002B2CF9AE}" pid="4" name="KSOTemplateDocerSaveRecord">
    <vt:lpwstr>eyJoZGlkIjoiZDI4M2QyNzY5ZDc1OGYwMTFhOGRkYzAyMDY2ZDA3YmQiLCJ1c2VySWQiOiI2OTYwMDc4MDgifQ==</vt:lpwstr>
  </property>
</Properties>
</file>