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47E39">
      <w:pPr>
        <w:pStyle w:val="2"/>
      </w:pPr>
      <w:bookmarkStart w:id="2" w:name="_GoBack"/>
      <w:bookmarkEnd w:id="2"/>
      <w:bookmarkStart w:id="0" w:name="_Toc1437819610"/>
      <w:r>
        <w:rPr>
          <w:rFonts w:hint="eastAsia"/>
        </w:rPr>
        <w:t>一期项目明细表</w:t>
      </w:r>
      <w:bookmarkEnd w:id="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568"/>
        <w:gridCol w:w="4932"/>
        <w:gridCol w:w="1191"/>
      </w:tblGrid>
      <w:tr w14:paraId="2DBB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53578592">
            <w:pPr>
              <w:adjustRightInd w:val="0"/>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1568" w:type="dxa"/>
            <w:vAlign w:val="center"/>
          </w:tcPr>
          <w:p w14:paraId="10CB0F0B">
            <w:pPr>
              <w:adjustRightInd w:val="0"/>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建设名称</w:t>
            </w:r>
          </w:p>
        </w:tc>
        <w:tc>
          <w:tcPr>
            <w:tcW w:w="4932" w:type="dxa"/>
            <w:vAlign w:val="center"/>
          </w:tcPr>
          <w:p w14:paraId="2AF6EF76">
            <w:pPr>
              <w:adjustRightInd w:val="0"/>
              <w:snapToGrid w:val="0"/>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建设内容</w:t>
            </w:r>
          </w:p>
        </w:tc>
        <w:tc>
          <w:tcPr>
            <w:tcW w:w="1191" w:type="dxa"/>
            <w:vAlign w:val="center"/>
          </w:tcPr>
          <w:p w14:paraId="0C2B15D5">
            <w:pPr>
              <w:adjustRightInd w:val="0"/>
              <w:snapToGrid w:val="0"/>
              <w:jc w:val="center"/>
              <w:rPr>
                <w:rFonts w:hint="default"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报价</w:t>
            </w:r>
          </w:p>
        </w:tc>
      </w:tr>
      <w:tr w14:paraId="321B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3245C73D">
            <w:pPr>
              <w:adjustRightInd w:val="0"/>
              <w:snapToGrid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1568" w:type="dxa"/>
            <w:vAlign w:val="center"/>
          </w:tcPr>
          <w:p w14:paraId="359185E8">
            <w:pPr>
              <w:adjustRightInd w:val="0"/>
              <w:snapToGrid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数据集成</w:t>
            </w:r>
          </w:p>
        </w:tc>
        <w:tc>
          <w:tcPr>
            <w:tcW w:w="4932" w:type="dxa"/>
            <w:vAlign w:val="center"/>
          </w:tcPr>
          <w:p w14:paraId="07425CE9">
            <w:pPr>
              <w:adjustRightInd w:val="0"/>
              <w:snapToGrid w:val="0"/>
              <w:jc w:val="left"/>
              <w:rPr>
                <w:rFonts w:asciiTheme="majorEastAsia" w:hAnsiTheme="majorEastAsia" w:eastAsiaTheme="majorEastAsia" w:cstheme="majorEastAsia"/>
              </w:rPr>
            </w:pPr>
            <w:r>
              <w:rPr>
                <w:rFonts w:hint="eastAsia" w:asciiTheme="majorEastAsia" w:hAnsiTheme="majorEastAsia" w:eastAsiaTheme="majorEastAsia" w:cstheme="majorEastAsia"/>
                <w:szCs w:val="28"/>
              </w:rPr>
              <w:t>ETL数据采集工具和数据采集、清洗，转换等全过程管理。</w:t>
            </w:r>
          </w:p>
        </w:tc>
        <w:tc>
          <w:tcPr>
            <w:tcW w:w="1191" w:type="dxa"/>
            <w:vAlign w:val="center"/>
          </w:tcPr>
          <w:p w14:paraId="06777188">
            <w:pPr>
              <w:adjustRightInd w:val="0"/>
              <w:snapToGrid w:val="0"/>
              <w:jc w:val="center"/>
              <w:rPr>
                <w:rFonts w:asciiTheme="majorEastAsia" w:hAnsiTheme="majorEastAsia" w:eastAsiaTheme="majorEastAsia" w:cstheme="majorEastAsia"/>
                <w:szCs w:val="28"/>
              </w:rPr>
            </w:pPr>
          </w:p>
        </w:tc>
      </w:tr>
      <w:tr w14:paraId="1E8E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598C1046">
            <w:pPr>
              <w:adjustRightInd w:val="0"/>
              <w:snapToGrid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1568" w:type="dxa"/>
            <w:vAlign w:val="center"/>
          </w:tcPr>
          <w:p w14:paraId="45F79FCF">
            <w:pPr>
              <w:adjustRightInd w:val="0"/>
              <w:snapToGrid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数据管理</w:t>
            </w:r>
          </w:p>
        </w:tc>
        <w:tc>
          <w:tcPr>
            <w:tcW w:w="4932" w:type="dxa"/>
            <w:vAlign w:val="center"/>
          </w:tcPr>
          <w:p w14:paraId="6398ED7D">
            <w:pPr>
              <w:adjustRightInd w:val="0"/>
              <w:snapToGrid w:val="0"/>
              <w:jc w:val="left"/>
              <w:rPr>
                <w:rFonts w:asciiTheme="majorEastAsia" w:hAnsiTheme="majorEastAsia" w:eastAsiaTheme="majorEastAsia" w:cstheme="majorEastAsia"/>
              </w:rPr>
            </w:pPr>
            <w:r>
              <w:rPr>
                <w:rFonts w:hint="eastAsia" w:asciiTheme="majorEastAsia" w:hAnsiTheme="majorEastAsia" w:eastAsiaTheme="majorEastAsia" w:cstheme="majorEastAsia"/>
                <w:szCs w:val="28"/>
              </w:rPr>
              <w:t>全域数据库管理，数据标准管理，数据模型管理，元数据管理等。</w:t>
            </w:r>
          </w:p>
        </w:tc>
        <w:tc>
          <w:tcPr>
            <w:tcW w:w="1191" w:type="dxa"/>
            <w:vAlign w:val="center"/>
          </w:tcPr>
          <w:p w14:paraId="019C2C38">
            <w:pPr>
              <w:adjustRightInd w:val="0"/>
              <w:snapToGrid w:val="0"/>
              <w:jc w:val="center"/>
              <w:rPr>
                <w:rFonts w:asciiTheme="majorEastAsia" w:hAnsiTheme="majorEastAsia" w:eastAsiaTheme="majorEastAsia" w:cstheme="majorEastAsia"/>
                <w:szCs w:val="28"/>
              </w:rPr>
            </w:pPr>
          </w:p>
        </w:tc>
      </w:tr>
      <w:tr w14:paraId="75D5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3EEC3342">
            <w:pPr>
              <w:adjustRightInd w:val="0"/>
              <w:snapToGrid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3</w:t>
            </w:r>
          </w:p>
        </w:tc>
        <w:tc>
          <w:tcPr>
            <w:tcW w:w="1568" w:type="dxa"/>
            <w:vAlign w:val="center"/>
          </w:tcPr>
          <w:p w14:paraId="47C6D880">
            <w:pPr>
              <w:adjustRightInd w:val="0"/>
              <w:snapToGrid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数据共享</w:t>
            </w:r>
          </w:p>
        </w:tc>
        <w:tc>
          <w:tcPr>
            <w:tcW w:w="4932" w:type="dxa"/>
            <w:vAlign w:val="center"/>
          </w:tcPr>
          <w:p w14:paraId="564E02F6">
            <w:pPr>
              <w:adjustRightInd w:val="0"/>
              <w:snapToGrid w:val="0"/>
              <w:jc w:val="left"/>
              <w:rPr>
                <w:rFonts w:asciiTheme="majorEastAsia" w:hAnsiTheme="majorEastAsia" w:eastAsiaTheme="majorEastAsia" w:cstheme="majorEastAsia"/>
              </w:rPr>
            </w:pPr>
            <w:r>
              <w:rPr>
                <w:rFonts w:hint="eastAsia" w:asciiTheme="majorEastAsia" w:hAnsiTheme="majorEastAsia" w:eastAsiaTheme="majorEastAsia" w:cstheme="majorEastAsia"/>
                <w:szCs w:val="28"/>
              </w:rPr>
              <w:t>数据资源对外共享服务的功能板块，它包含数据开放管理、数据脱敏加密、数据安全等级管理。</w:t>
            </w:r>
          </w:p>
        </w:tc>
        <w:tc>
          <w:tcPr>
            <w:tcW w:w="1191" w:type="dxa"/>
            <w:vAlign w:val="center"/>
          </w:tcPr>
          <w:p w14:paraId="040E2A70">
            <w:pPr>
              <w:adjustRightInd w:val="0"/>
              <w:snapToGrid w:val="0"/>
              <w:jc w:val="center"/>
              <w:rPr>
                <w:rFonts w:asciiTheme="majorEastAsia" w:hAnsiTheme="majorEastAsia" w:eastAsiaTheme="majorEastAsia" w:cstheme="majorEastAsia"/>
                <w:szCs w:val="28"/>
              </w:rPr>
            </w:pPr>
          </w:p>
        </w:tc>
      </w:tr>
      <w:tr w14:paraId="0F1A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005D2235">
            <w:pPr>
              <w:adjustRightInd w:val="0"/>
              <w:snapToGrid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4</w:t>
            </w:r>
          </w:p>
        </w:tc>
        <w:tc>
          <w:tcPr>
            <w:tcW w:w="1568" w:type="dxa"/>
            <w:vAlign w:val="center"/>
          </w:tcPr>
          <w:p w14:paraId="541F315E">
            <w:pPr>
              <w:adjustRightInd w:val="0"/>
              <w:snapToGrid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数据门户</w:t>
            </w:r>
          </w:p>
        </w:tc>
        <w:tc>
          <w:tcPr>
            <w:tcW w:w="4932" w:type="dxa"/>
            <w:vAlign w:val="center"/>
          </w:tcPr>
          <w:p w14:paraId="1005A821">
            <w:pPr>
              <w:adjustRightInd w:val="0"/>
              <w:snapToGrid w:val="0"/>
              <w:jc w:val="left"/>
              <w:rPr>
                <w:rFonts w:asciiTheme="majorEastAsia" w:hAnsiTheme="majorEastAsia" w:eastAsiaTheme="majorEastAsia" w:cstheme="majorEastAsia"/>
              </w:rPr>
            </w:pPr>
            <w:r>
              <w:rPr>
                <w:rFonts w:hint="eastAsia" w:asciiTheme="majorEastAsia" w:hAnsiTheme="majorEastAsia" w:eastAsiaTheme="majorEastAsia" w:cstheme="majorEastAsia"/>
                <w:szCs w:val="28"/>
              </w:rPr>
              <w:t>作为整个数据中心项目的前端，提供数据资源查看入口，管理各角色对数据资源的浏览、检索权限。</w:t>
            </w:r>
          </w:p>
        </w:tc>
        <w:tc>
          <w:tcPr>
            <w:tcW w:w="1191" w:type="dxa"/>
            <w:vAlign w:val="center"/>
          </w:tcPr>
          <w:p w14:paraId="58702736">
            <w:pPr>
              <w:adjustRightInd w:val="0"/>
              <w:snapToGrid w:val="0"/>
              <w:jc w:val="center"/>
              <w:rPr>
                <w:rFonts w:asciiTheme="majorEastAsia" w:hAnsiTheme="majorEastAsia" w:eastAsiaTheme="majorEastAsia" w:cstheme="majorEastAsia"/>
                <w:szCs w:val="28"/>
              </w:rPr>
            </w:pPr>
          </w:p>
        </w:tc>
      </w:tr>
      <w:tr w14:paraId="3AF9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399" w:type="dxa"/>
            <w:gridSpan w:val="2"/>
            <w:vAlign w:val="center"/>
          </w:tcPr>
          <w:p w14:paraId="72B3BEC6">
            <w:pPr>
              <w:adjustRightInd w:val="0"/>
              <w:snapToGrid w:val="0"/>
              <w:jc w:val="center"/>
              <w:rPr>
                <w:rFonts w:asciiTheme="majorEastAsia" w:hAnsiTheme="majorEastAsia" w:eastAsiaTheme="majorEastAsia" w:cstheme="majorEastAsia"/>
              </w:rPr>
            </w:pPr>
            <w:bookmarkStart w:id="1" w:name="_Toc936789322"/>
            <w:r>
              <w:rPr>
                <w:rFonts w:hint="eastAsia" w:asciiTheme="majorEastAsia" w:hAnsiTheme="majorEastAsia" w:eastAsiaTheme="majorEastAsia" w:cstheme="majorEastAsia"/>
              </w:rPr>
              <w:t>合计</w:t>
            </w:r>
          </w:p>
        </w:tc>
        <w:tc>
          <w:tcPr>
            <w:tcW w:w="6123" w:type="dxa"/>
            <w:gridSpan w:val="2"/>
            <w:vAlign w:val="center"/>
          </w:tcPr>
          <w:p w14:paraId="4AC25F97">
            <w:pPr>
              <w:adjustRightInd w:val="0"/>
              <w:snapToGrid w:val="0"/>
              <w:jc w:val="center"/>
              <w:rPr>
                <w:rFonts w:asciiTheme="majorEastAsia" w:hAnsiTheme="majorEastAsia" w:eastAsiaTheme="majorEastAsia" w:cstheme="majorEastAsia"/>
                <w:szCs w:val="28"/>
              </w:rPr>
            </w:pPr>
          </w:p>
        </w:tc>
      </w:tr>
    </w:tbl>
    <w:p w14:paraId="3AEB9C9B">
      <w:pPr>
        <w:adjustRightInd w:val="0"/>
        <w:snapToGrid w:val="0"/>
        <w:rPr>
          <w:rFonts w:ascii="宋体" w:hAnsi="宋体"/>
          <w:b/>
          <w:sz w:val="24"/>
        </w:rPr>
      </w:pPr>
    </w:p>
    <w:p w14:paraId="71717926">
      <w:pPr>
        <w:adjustRightInd w:val="0"/>
        <w:snapToGrid w:val="0"/>
        <w:rPr>
          <w:rFonts w:ascii="宋体" w:hAnsi="宋体"/>
          <w:b/>
          <w:sz w:val="24"/>
        </w:rPr>
      </w:pPr>
      <w:r>
        <w:rPr>
          <w:rFonts w:hint="eastAsia" w:ascii="宋体" w:hAnsi="宋体"/>
          <w:b/>
          <w:sz w:val="24"/>
        </w:rPr>
        <w:t>硬件资源需求</w:t>
      </w:r>
      <w:bookmarkEnd w:id="1"/>
    </w:p>
    <w:tbl>
      <w:tblPr>
        <w:tblStyle w:val="7"/>
        <w:tblW w:w="5000"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3"/>
        <w:gridCol w:w="1474"/>
        <w:gridCol w:w="753"/>
        <w:gridCol w:w="1271"/>
        <w:gridCol w:w="994"/>
        <w:gridCol w:w="1133"/>
        <w:gridCol w:w="960"/>
        <w:gridCol w:w="1184"/>
      </w:tblGrid>
      <w:tr w14:paraId="65BA55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42" w:type="pct"/>
            <w:tcBorders>
              <w:top w:val="double" w:color="000000" w:sz="6" w:space="0"/>
              <w:left w:val="double" w:color="000000" w:sz="6" w:space="0"/>
              <w:bottom w:val="single" w:color="000000" w:sz="6" w:space="0"/>
              <w:right w:val="single" w:color="auto" w:sz="6" w:space="0"/>
            </w:tcBorders>
            <w:shd w:val="clear" w:color="auto" w:fill="CCCCCC"/>
            <w:vAlign w:val="center"/>
          </w:tcPr>
          <w:p w14:paraId="1E7A8606">
            <w:pPr>
              <w:jc w:val="center"/>
              <w:rPr>
                <w:rFonts w:ascii="宋体" w:hAnsi="宋体" w:cs="宋体"/>
                <w:b/>
                <w:caps/>
                <w:kern w:val="0"/>
                <w:sz w:val="24"/>
                <w:szCs w:val="20"/>
              </w:rPr>
            </w:pPr>
            <w:r>
              <w:rPr>
                <w:rFonts w:hint="eastAsia" w:ascii="宋体" w:hAnsi="宋体" w:cs="宋体"/>
                <w:b/>
                <w:caps/>
                <w:kern w:val="0"/>
                <w:sz w:val="24"/>
                <w:szCs w:val="20"/>
              </w:rPr>
              <w:t>序号</w:t>
            </w:r>
          </w:p>
        </w:tc>
        <w:tc>
          <w:tcPr>
            <w:tcW w:w="865" w:type="pct"/>
            <w:tcBorders>
              <w:top w:val="double" w:color="000000" w:sz="6" w:space="0"/>
              <w:left w:val="single" w:color="auto" w:sz="6" w:space="0"/>
              <w:bottom w:val="single" w:color="000000" w:sz="6" w:space="0"/>
              <w:right w:val="single" w:color="auto" w:sz="6" w:space="0"/>
            </w:tcBorders>
            <w:shd w:val="clear" w:color="auto" w:fill="CCCCCC"/>
            <w:vAlign w:val="center"/>
          </w:tcPr>
          <w:p w14:paraId="6DF23EF8">
            <w:pPr>
              <w:jc w:val="center"/>
              <w:rPr>
                <w:rFonts w:ascii="宋体" w:hAnsi="宋体" w:cs="宋体"/>
                <w:b/>
                <w:caps/>
                <w:kern w:val="0"/>
                <w:sz w:val="24"/>
                <w:szCs w:val="20"/>
              </w:rPr>
            </w:pPr>
            <w:r>
              <w:rPr>
                <w:rFonts w:hint="eastAsia" w:ascii="宋体" w:hAnsi="宋体" w:cs="宋体"/>
                <w:b/>
                <w:caps/>
                <w:kern w:val="0"/>
                <w:sz w:val="24"/>
                <w:szCs w:val="20"/>
              </w:rPr>
              <w:t>服务器用途</w:t>
            </w:r>
          </w:p>
        </w:tc>
        <w:tc>
          <w:tcPr>
            <w:tcW w:w="442" w:type="pct"/>
            <w:tcBorders>
              <w:top w:val="double" w:color="000000" w:sz="6" w:space="0"/>
              <w:left w:val="single" w:color="auto" w:sz="6" w:space="0"/>
              <w:bottom w:val="single" w:color="000000" w:sz="6" w:space="0"/>
              <w:right w:val="single" w:color="auto" w:sz="6" w:space="0"/>
            </w:tcBorders>
            <w:shd w:val="clear" w:color="auto" w:fill="CCCCCC"/>
            <w:vAlign w:val="center"/>
          </w:tcPr>
          <w:p w14:paraId="1B0C3F7F">
            <w:pPr>
              <w:jc w:val="center"/>
              <w:rPr>
                <w:rFonts w:ascii="宋体" w:hAnsi="宋体" w:cs="宋体"/>
                <w:b/>
                <w:caps/>
                <w:kern w:val="0"/>
                <w:sz w:val="24"/>
                <w:szCs w:val="20"/>
              </w:rPr>
            </w:pPr>
            <w:r>
              <w:rPr>
                <w:rFonts w:hint="eastAsia" w:ascii="宋体" w:hAnsi="宋体" w:cs="宋体"/>
                <w:b/>
                <w:caps/>
                <w:kern w:val="0"/>
                <w:sz w:val="24"/>
                <w:szCs w:val="20"/>
              </w:rPr>
              <w:t>数量</w:t>
            </w:r>
          </w:p>
        </w:tc>
        <w:tc>
          <w:tcPr>
            <w:tcW w:w="746" w:type="pct"/>
            <w:tcBorders>
              <w:top w:val="double" w:color="000000" w:sz="6" w:space="0"/>
              <w:left w:val="single" w:color="auto" w:sz="6" w:space="0"/>
              <w:bottom w:val="single" w:color="000000" w:sz="6" w:space="0"/>
              <w:right w:val="single" w:color="auto" w:sz="6" w:space="0"/>
            </w:tcBorders>
            <w:shd w:val="clear" w:color="auto" w:fill="CCCCCC"/>
            <w:vAlign w:val="center"/>
          </w:tcPr>
          <w:p w14:paraId="7FD42C18">
            <w:pPr>
              <w:jc w:val="center"/>
              <w:rPr>
                <w:rFonts w:ascii="宋体" w:hAnsi="宋体" w:cs="宋体"/>
                <w:b/>
                <w:caps/>
                <w:kern w:val="0"/>
                <w:sz w:val="24"/>
                <w:szCs w:val="20"/>
              </w:rPr>
            </w:pPr>
            <w:r>
              <w:rPr>
                <w:rFonts w:hint="eastAsia" w:ascii="宋体" w:hAnsi="宋体" w:cs="宋体"/>
                <w:b/>
                <w:caps/>
                <w:kern w:val="0"/>
                <w:sz w:val="24"/>
                <w:szCs w:val="20"/>
              </w:rPr>
              <w:t>C</w:t>
            </w:r>
            <w:r>
              <w:rPr>
                <w:rFonts w:ascii="宋体" w:hAnsi="宋体" w:cs="宋体"/>
                <w:b/>
                <w:caps/>
                <w:kern w:val="0"/>
                <w:sz w:val="24"/>
                <w:szCs w:val="20"/>
              </w:rPr>
              <w:t>PU</w:t>
            </w:r>
          </w:p>
        </w:tc>
        <w:tc>
          <w:tcPr>
            <w:tcW w:w="583" w:type="pct"/>
            <w:tcBorders>
              <w:top w:val="double" w:color="000000" w:sz="6" w:space="0"/>
              <w:left w:val="single" w:color="auto" w:sz="6" w:space="0"/>
              <w:bottom w:val="single" w:color="000000" w:sz="6" w:space="0"/>
              <w:right w:val="single" w:color="auto" w:sz="6" w:space="0"/>
            </w:tcBorders>
            <w:shd w:val="clear" w:color="auto" w:fill="CCCCCC"/>
            <w:vAlign w:val="center"/>
          </w:tcPr>
          <w:p w14:paraId="73276A8E">
            <w:pPr>
              <w:jc w:val="center"/>
              <w:rPr>
                <w:rFonts w:ascii="宋体" w:hAnsi="宋体" w:cs="宋体"/>
                <w:b/>
                <w:caps/>
                <w:kern w:val="0"/>
                <w:sz w:val="24"/>
                <w:szCs w:val="20"/>
              </w:rPr>
            </w:pPr>
            <w:r>
              <w:rPr>
                <w:rFonts w:hint="eastAsia" w:ascii="宋体" w:hAnsi="宋体" w:cs="宋体"/>
                <w:b/>
                <w:caps/>
                <w:kern w:val="0"/>
                <w:sz w:val="24"/>
                <w:szCs w:val="20"/>
              </w:rPr>
              <w:t>内存</w:t>
            </w:r>
          </w:p>
        </w:tc>
        <w:tc>
          <w:tcPr>
            <w:tcW w:w="665" w:type="pct"/>
            <w:tcBorders>
              <w:top w:val="double" w:color="000000" w:sz="6" w:space="0"/>
              <w:left w:val="single" w:color="auto" w:sz="6" w:space="0"/>
              <w:bottom w:val="single" w:color="000000" w:sz="6" w:space="0"/>
              <w:right w:val="single" w:color="auto" w:sz="6" w:space="0"/>
            </w:tcBorders>
            <w:shd w:val="clear" w:color="auto" w:fill="CCCCCC"/>
            <w:vAlign w:val="center"/>
          </w:tcPr>
          <w:p w14:paraId="57F8AF22">
            <w:pPr>
              <w:jc w:val="center"/>
              <w:rPr>
                <w:rFonts w:ascii="宋体" w:hAnsi="宋体" w:cs="宋体"/>
                <w:b/>
                <w:caps/>
                <w:kern w:val="0"/>
                <w:sz w:val="24"/>
                <w:szCs w:val="20"/>
              </w:rPr>
            </w:pPr>
            <w:r>
              <w:rPr>
                <w:rFonts w:hint="eastAsia" w:ascii="宋体" w:hAnsi="宋体" w:cs="宋体"/>
                <w:b/>
                <w:caps/>
                <w:kern w:val="0"/>
                <w:sz w:val="24"/>
                <w:szCs w:val="20"/>
              </w:rPr>
              <w:t>硬盘</w:t>
            </w:r>
          </w:p>
        </w:tc>
        <w:tc>
          <w:tcPr>
            <w:tcW w:w="563" w:type="pct"/>
            <w:tcBorders>
              <w:top w:val="double" w:color="000000" w:sz="6" w:space="0"/>
              <w:left w:val="single" w:color="auto" w:sz="6" w:space="0"/>
              <w:bottom w:val="single" w:color="000000" w:sz="6" w:space="0"/>
              <w:right w:val="single" w:color="auto" w:sz="4" w:space="0"/>
            </w:tcBorders>
            <w:shd w:val="clear" w:color="auto" w:fill="CCCCCC"/>
            <w:vAlign w:val="center"/>
          </w:tcPr>
          <w:p w14:paraId="4176CF04">
            <w:pPr>
              <w:jc w:val="center"/>
              <w:rPr>
                <w:rFonts w:hint="eastAsia" w:ascii="宋体" w:hAnsi="宋体" w:eastAsia="宋体" w:cs="宋体"/>
                <w:b/>
                <w:caps/>
                <w:kern w:val="0"/>
                <w:sz w:val="24"/>
                <w:szCs w:val="20"/>
                <w:lang w:val="en-US" w:eastAsia="zh-CN"/>
              </w:rPr>
            </w:pPr>
            <w:r>
              <w:rPr>
                <w:rFonts w:hint="eastAsia" w:ascii="宋体" w:hAnsi="宋体" w:cs="宋体"/>
                <w:b/>
                <w:caps/>
                <w:kern w:val="0"/>
                <w:sz w:val="24"/>
                <w:szCs w:val="20"/>
                <w:lang w:val="en-US" w:eastAsia="zh-CN"/>
              </w:rPr>
              <w:t>报价</w:t>
            </w:r>
          </w:p>
        </w:tc>
        <w:tc>
          <w:tcPr>
            <w:tcW w:w="695" w:type="pct"/>
            <w:tcBorders>
              <w:top w:val="double" w:color="000000" w:sz="6" w:space="0"/>
              <w:left w:val="single" w:color="auto" w:sz="4" w:space="0"/>
              <w:bottom w:val="single" w:color="000000" w:sz="6" w:space="0"/>
              <w:right w:val="double" w:color="000000" w:sz="6" w:space="0"/>
            </w:tcBorders>
            <w:shd w:val="clear" w:color="auto" w:fill="CCCCCC"/>
            <w:vAlign w:val="center"/>
          </w:tcPr>
          <w:p w14:paraId="46313678">
            <w:pPr>
              <w:jc w:val="center"/>
              <w:rPr>
                <w:rFonts w:ascii="宋体" w:hAnsi="宋体" w:cs="宋体"/>
                <w:b/>
                <w:caps/>
                <w:kern w:val="0"/>
                <w:sz w:val="24"/>
                <w:szCs w:val="20"/>
              </w:rPr>
            </w:pPr>
            <w:r>
              <w:rPr>
                <w:rFonts w:hint="eastAsia" w:ascii="宋体" w:hAnsi="宋体" w:cs="宋体"/>
                <w:b/>
                <w:caps/>
                <w:kern w:val="0"/>
                <w:sz w:val="24"/>
                <w:szCs w:val="20"/>
              </w:rPr>
              <w:t>备注</w:t>
            </w:r>
          </w:p>
        </w:tc>
      </w:tr>
      <w:tr w14:paraId="0EF339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2" w:type="pct"/>
            <w:shd w:val="clear" w:color="auto" w:fill="auto"/>
            <w:vAlign w:val="center"/>
          </w:tcPr>
          <w:p w14:paraId="04799F25">
            <w:pPr>
              <w:jc w:val="center"/>
              <w:rPr>
                <w:rFonts w:ascii="宋体" w:hAnsi="宋体" w:cs="宋体"/>
                <w:kern w:val="0"/>
                <w:szCs w:val="20"/>
              </w:rPr>
            </w:pPr>
            <w:r>
              <w:rPr>
                <w:rFonts w:hint="eastAsia" w:ascii="宋体" w:hAnsi="宋体" w:cs="宋体"/>
                <w:kern w:val="0"/>
                <w:szCs w:val="20"/>
              </w:rPr>
              <w:t>1</w:t>
            </w:r>
          </w:p>
        </w:tc>
        <w:tc>
          <w:tcPr>
            <w:tcW w:w="865" w:type="pct"/>
            <w:shd w:val="clear" w:color="auto" w:fill="auto"/>
            <w:vAlign w:val="center"/>
          </w:tcPr>
          <w:p w14:paraId="3018930E">
            <w:pPr>
              <w:jc w:val="center"/>
              <w:rPr>
                <w:rFonts w:ascii="宋体" w:hAnsi="宋体" w:cs="宋体"/>
                <w:kern w:val="0"/>
                <w:szCs w:val="20"/>
              </w:rPr>
            </w:pPr>
            <w:r>
              <w:rPr>
                <w:rFonts w:hint="eastAsia" w:ascii="宋体" w:hAnsi="宋体" w:cs="宋体"/>
                <w:kern w:val="0"/>
                <w:szCs w:val="20"/>
              </w:rPr>
              <w:t>数据库部署服务器</w:t>
            </w:r>
          </w:p>
        </w:tc>
        <w:tc>
          <w:tcPr>
            <w:tcW w:w="442" w:type="pct"/>
            <w:shd w:val="clear" w:color="auto" w:fill="auto"/>
            <w:vAlign w:val="center"/>
          </w:tcPr>
          <w:p w14:paraId="4DC60E0E">
            <w:pPr>
              <w:jc w:val="center"/>
              <w:rPr>
                <w:rFonts w:ascii="宋体" w:hAnsi="宋体" w:cs="宋体"/>
                <w:kern w:val="0"/>
                <w:szCs w:val="20"/>
              </w:rPr>
            </w:pPr>
            <w:r>
              <w:rPr>
                <w:rFonts w:hint="eastAsia" w:ascii="宋体" w:hAnsi="宋体" w:cs="宋体"/>
                <w:kern w:val="0"/>
                <w:szCs w:val="20"/>
              </w:rPr>
              <w:t>2</w:t>
            </w:r>
          </w:p>
        </w:tc>
        <w:tc>
          <w:tcPr>
            <w:tcW w:w="746" w:type="pct"/>
            <w:shd w:val="clear" w:color="auto" w:fill="auto"/>
            <w:vAlign w:val="center"/>
          </w:tcPr>
          <w:p w14:paraId="3F0F2DD8">
            <w:pPr>
              <w:jc w:val="center"/>
              <w:rPr>
                <w:rFonts w:ascii="宋体" w:hAnsi="宋体" w:cs="宋体"/>
                <w:kern w:val="0"/>
                <w:szCs w:val="20"/>
              </w:rPr>
            </w:pPr>
            <w:r>
              <w:rPr>
                <w:rFonts w:hint="eastAsia" w:ascii="宋体" w:hAnsi="宋体" w:cs="宋体"/>
                <w:kern w:val="0"/>
                <w:szCs w:val="20"/>
              </w:rPr>
              <w:t>3</w:t>
            </w:r>
            <w:r>
              <w:rPr>
                <w:rFonts w:ascii="宋体" w:hAnsi="宋体" w:cs="宋体"/>
                <w:kern w:val="0"/>
                <w:szCs w:val="20"/>
              </w:rPr>
              <w:t>2</w:t>
            </w:r>
            <w:r>
              <w:rPr>
                <w:rFonts w:hint="eastAsia" w:ascii="宋体" w:hAnsi="宋体" w:cs="宋体"/>
                <w:kern w:val="0"/>
                <w:szCs w:val="20"/>
              </w:rPr>
              <w:t>核</w:t>
            </w:r>
            <w:r>
              <w:rPr>
                <w:rFonts w:ascii="宋体" w:hAnsi="宋体" w:cs="宋体"/>
                <w:kern w:val="0"/>
                <w:szCs w:val="20"/>
              </w:rPr>
              <w:t>/</w:t>
            </w:r>
            <w:r>
              <w:rPr>
                <w:rFonts w:hint="eastAsia" w:ascii="宋体" w:hAnsi="宋体" w:cs="宋体"/>
                <w:kern w:val="0"/>
                <w:szCs w:val="20"/>
              </w:rPr>
              <w:t>台</w:t>
            </w:r>
          </w:p>
        </w:tc>
        <w:tc>
          <w:tcPr>
            <w:tcW w:w="583" w:type="pct"/>
            <w:shd w:val="clear" w:color="auto" w:fill="auto"/>
            <w:vAlign w:val="center"/>
          </w:tcPr>
          <w:p w14:paraId="591B0FD9">
            <w:pPr>
              <w:jc w:val="center"/>
              <w:rPr>
                <w:rFonts w:ascii="宋体" w:hAnsi="宋体" w:cs="宋体"/>
                <w:kern w:val="0"/>
                <w:szCs w:val="20"/>
              </w:rPr>
            </w:pPr>
            <w:r>
              <w:rPr>
                <w:rFonts w:hint="eastAsia" w:ascii="宋体" w:hAnsi="宋体" w:cs="宋体"/>
                <w:kern w:val="0"/>
                <w:szCs w:val="20"/>
              </w:rPr>
              <w:t>128</w:t>
            </w:r>
            <w:r>
              <w:rPr>
                <w:rFonts w:ascii="宋体" w:hAnsi="宋体" w:cs="宋体"/>
                <w:kern w:val="0"/>
                <w:szCs w:val="20"/>
              </w:rPr>
              <w:t>G/</w:t>
            </w:r>
            <w:r>
              <w:rPr>
                <w:rFonts w:hint="eastAsia" w:ascii="宋体" w:hAnsi="宋体" w:cs="宋体"/>
                <w:kern w:val="0"/>
                <w:szCs w:val="20"/>
              </w:rPr>
              <w:t>台</w:t>
            </w:r>
          </w:p>
        </w:tc>
        <w:tc>
          <w:tcPr>
            <w:tcW w:w="665" w:type="pct"/>
            <w:shd w:val="clear" w:color="auto" w:fill="auto"/>
            <w:vAlign w:val="center"/>
          </w:tcPr>
          <w:p w14:paraId="4CEEE5E6">
            <w:pPr>
              <w:jc w:val="center"/>
              <w:rPr>
                <w:rFonts w:ascii="宋体" w:hAnsi="宋体" w:cs="宋体"/>
                <w:kern w:val="0"/>
                <w:szCs w:val="20"/>
              </w:rPr>
            </w:pPr>
            <w:r>
              <w:rPr>
                <w:rFonts w:hint="eastAsia" w:ascii="宋体" w:hAnsi="宋体" w:cs="宋体"/>
                <w:kern w:val="0"/>
                <w:szCs w:val="20"/>
              </w:rPr>
              <w:t>4.8</w:t>
            </w:r>
            <w:r>
              <w:rPr>
                <w:rFonts w:ascii="宋体" w:hAnsi="宋体" w:cs="宋体"/>
                <w:kern w:val="0"/>
                <w:szCs w:val="20"/>
              </w:rPr>
              <w:t>T/</w:t>
            </w:r>
            <w:r>
              <w:rPr>
                <w:rFonts w:hint="eastAsia" w:ascii="宋体" w:hAnsi="宋体" w:cs="宋体"/>
                <w:kern w:val="0"/>
                <w:szCs w:val="20"/>
              </w:rPr>
              <w:t>台</w:t>
            </w:r>
          </w:p>
        </w:tc>
        <w:tc>
          <w:tcPr>
            <w:tcW w:w="563" w:type="pct"/>
            <w:tcBorders>
              <w:right w:val="single" w:color="auto" w:sz="4" w:space="0"/>
            </w:tcBorders>
            <w:shd w:val="clear" w:color="auto" w:fill="auto"/>
            <w:vAlign w:val="center"/>
          </w:tcPr>
          <w:p w14:paraId="698BBE86">
            <w:pPr>
              <w:jc w:val="center"/>
              <w:rPr>
                <w:rFonts w:ascii="宋体" w:hAnsi="宋体" w:cs="宋体"/>
                <w:color w:val="FF0000"/>
                <w:kern w:val="0"/>
                <w:szCs w:val="20"/>
              </w:rPr>
            </w:pPr>
          </w:p>
        </w:tc>
        <w:tc>
          <w:tcPr>
            <w:tcW w:w="695" w:type="pct"/>
            <w:tcBorders>
              <w:left w:val="single" w:color="auto" w:sz="4" w:space="0"/>
            </w:tcBorders>
            <w:shd w:val="clear" w:color="auto" w:fill="auto"/>
            <w:vAlign w:val="center"/>
          </w:tcPr>
          <w:p w14:paraId="65EBC3F8">
            <w:pPr>
              <w:jc w:val="center"/>
              <w:rPr>
                <w:rFonts w:ascii="宋体" w:hAnsi="宋体" w:cs="宋体"/>
                <w:kern w:val="0"/>
                <w:szCs w:val="20"/>
              </w:rPr>
            </w:pPr>
            <w:r>
              <w:rPr>
                <w:rFonts w:hint="eastAsia" w:ascii="宋体" w:hAnsi="宋体" w:cs="宋体"/>
                <w:kern w:val="0"/>
                <w:szCs w:val="20"/>
              </w:rPr>
              <w:t>物理机</w:t>
            </w:r>
          </w:p>
        </w:tc>
      </w:tr>
    </w:tbl>
    <w:p w14:paraId="505C0CE3">
      <w:pPr>
        <w:pStyle w:val="2"/>
        <w:numPr>
          <w:ilvl w:val="1"/>
          <w:numId w:val="0"/>
        </w:numPr>
      </w:pPr>
    </w:p>
    <w:p w14:paraId="005C5432">
      <w:pPr>
        <w:pStyle w:val="2"/>
        <w:numPr>
          <w:ilvl w:val="1"/>
          <w:numId w:val="0"/>
        </w:numPr>
      </w:pPr>
      <w:r>
        <w:rPr>
          <w:rFonts w:hint="eastAsia"/>
        </w:rPr>
        <w:t>1.2一期项目招标软件技术要求</w:t>
      </w:r>
    </w:p>
    <w:p w14:paraId="5F8F11DC">
      <w:pPr>
        <w:pStyle w:val="9"/>
        <w:ind w:firstLine="0"/>
      </w:pPr>
    </w:p>
    <w:tbl>
      <w:tblPr>
        <w:tblStyle w:val="7"/>
        <w:tblW w:w="8239" w:type="dxa"/>
        <w:jc w:val="center"/>
        <w:tblLayout w:type="fixed"/>
        <w:tblCellMar>
          <w:top w:w="0" w:type="dxa"/>
          <w:left w:w="108" w:type="dxa"/>
          <w:bottom w:w="0" w:type="dxa"/>
          <w:right w:w="108" w:type="dxa"/>
        </w:tblCellMar>
      </w:tblPr>
      <w:tblGrid>
        <w:gridCol w:w="866"/>
        <w:gridCol w:w="1046"/>
        <w:gridCol w:w="6327"/>
      </w:tblGrid>
      <w:tr w14:paraId="6F92717F">
        <w:tblPrEx>
          <w:tblCellMar>
            <w:top w:w="0" w:type="dxa"/>
            <w:left w:w="108" w:type="dxa"/>
            <w:bottom w:w="0" w:type="dxa"/>
            <w:right w:w="108" w:type="dxa"/>
          </w:tblCellMar>
        </w:tblPrEx>
        <w:trPr>
          <w:trHeight w:val="121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7052B">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1046" w:type="dxa"/>
            <w:tcBorders>
              <w:top w:val="single" w:color="000000" w:sz="4" w:space="0"/>
              <w:left w:val="single" w:color="000000" w:sz="4" w:space="0"/>
              <w:bottom w:val="single" w:color="000000" w:sz="4" w:space="0"/>
              <w:right w:val="single" w:color="000000" w:sz="4" w:space="0"/>
            </w:tcBorders>
            <w:vAlign w:val="center"/>
          </w:tcPr>
          <w:p w14:paraId="62D7604C">
            <w:pPr>
              <w:widowControl/>
              <w:jc w:val="center"/>
              <w:rPr>
                <w:rFonts w:ascii="宋体" w:hAnsi="宋体" w:cs="宋体"/>
                <w:b/>
                <w:bCs/>
                <w:kern w:val="0"/>
                <w:sz w:val="18"/>
                <w:szCs w:val="18"/>
              </w:rPr>
            </w:pPr>
            <w:r>
              <w:rPr>
                <w:rFonts w:hint="eastAsia" w:ascii="宋体" w:hAnsi="宋体" w:cs="宋体"/>
                <w:b/>
                <w:bCs/>
                <w:kern w:val="0"/>
                <w:sz w:val="18"/>
                <w:szCs w:val="18"/>
              </w:rPr>
              <w:t>功能项</w:t>
            </w:r>
          </w:p>
        </w:tc>
        <w:tc>
          <w:tcPr>
            <w:tcW w:w="6327" w:type="dxa"/>
            <w:tcBorders>
              <w:top w:val="single" w:color="000000" w:sz="4" w:space="0"/>
              <w:left w:val="single" w:color="000000" w:sz="4" w:space="0"/>
              <w:bottom w:val="single" w:color="000000" w:sz="4" w:space="0"/>
              <w:right w:val="single" w:color="000000" w:sz="4" w:space="0"/>
            </w:tcBorders>
            <w:vAlign w:val="center"/>
          </w:tcPr>
          <w:p w14:paraId="5491B6F9">
            <w:pPr>
              <w:widowControl/>
              <w:jc w:val="center"/>
              <w:rPr>
                <w:rFonts w:ascii="宋体" w:hAnsi="宋体" w:cs="宋体"/>
                <w:b/>
                <w:bCs/>
                <w:kern w:val="0"/>
                <w:sz w:val="18"/>
                <w:szCs w:val="18"/>
              </w:rPr>
            </w:pPr>
            <w:r>
              <w:rPr>
                <w:rFonts w:hint="eastAsia" w:ascii="宋体" w:hAnsi="宋体" w:cs="宋体"/>
                <w:b/>
                <w:bCs/>
                <w:kern w:val="0"/>
                <w:sz w:val="18"/>
                <w:szCs w:val="18"/>
              </w:rPr>
              <w:t>详细参数</w:t>
            </w:r>
          </w:p>
        </w:tc>
      </w:tr>
      <w:tr w14:paraId="0B4A92B5">
        <w:tblPrEx>
          <w:tblCellMar>
            <w:top w:w="0" w:type="dxa"/>
            <w:left w:w="108" w:type="dxa"/>
            <w:bottom w:w="0" w:type="dxa"/>
            <w:right w:w="108" w:type="dxa"/>
          </w:tblCellMar>
        </w:tblPrEx>
        <w:trPr>
          <w:trHeight w:val="121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A285">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1046" w:type="dxa"/>
            <w:tcBorders>
              <w:top w:val="single" w:color="000000" w:sz="4" w:space="0"/>
              <w:left w:val="single" w:color="000000" w:sz="4" w:space="0"/>
              <w:bottom w:val="single" w:color="000000" w:sz="4" w:space="0"/>
              <w:right w:val="single" w:color="000000" w:sz="4" w:space="0"/>
            </w:tcBorders>
            <w:vAlign w:val="center"/>
          </w:tcPr>
          <w:p w14:paraId="21A2413E">
            <w:pPr>
              <w:widowControl/>
              <w:jc w:val="center"/>
              <w:rPr>
                <w:rFonts w:ascii="宋体" w:hAnsi="宋体" w:cs="宋体"/>
                <w:b/>
                <w:bCs/>
                <w:kern w:val="0"/>
                <w:sz w:val="18"/>
                <w:szCs w:val="18"/>
              </w:rPr>
            </w:pPr>
            <w:r>
              <w:rPr>
                <w:rFonts w:hint="eastAsia" w:ascii="宋体" w:hAnsi="宋体" w:cs="宋体"/>
                <w:b/>
                <w:bCs/>
                <w:kern w:val="0"/>
                <w:sz w:val="18"/>
                <w:szCs w:val="18"/>
              </w:rPr>
              <w:t>数据集成</w:t>
            </w:r>
          </w:p>
        </w:tc>
        <w:tc>
          <w:tcPr>
            <w:tcW w:w="6327" w:type="dxa"/>
            <w:tcBorders>
              <w:top w:val="single" w:color="000000" w:sz="4" w:space="0"/>
              <w:left w:val="single" w:color="000000" w:sz="4" w:space="0"/>
              <w:bottom w:val="single" w:color="000000" w:sz="4" w:space="0"/>
              <w:right w:val="single" w:color="000000" w:sz="4" w:space="0"/>
            </w:tcBorders>
            <w:vAlign w:val="center"/>
          </w:tcPr>
          <w:p w14:paraId="7061D257">
            <w:pPr>
              <w:widowControl/>
              <w:tabs>
                <w:tab w:val="left" w:pos="312"/>
              </w:tabs>
              <w:wordWrap w:val="0"/>
              <w:spacing w:line="240" w:lineRule="auto"/>
              <w:jc w:val="left"/>
              <w:rPr>
                <w:rFonts w:ascii="宋体" w:hAnsi="宋体" w:cs="宋体"/>
                <w:kern w:val="0"/>
                <w:sz w:val="18"/>
                <w:szCs w:val="18"/>
              </w:rPr>
            </w:pPr>
            <w:r>
              <w:rPr>
                <w:rFonts w:hint="eastAsia" w:ascii="宋体" w:hAnsi="宋体" w:cs="宋体"/>
                <w:b/>
                <w:bCs/>
                <w:kern w:val="0"/>
                <w:sz w:val="18"/>
                <w:szCs w:val="18"/>
              </w:rPr>
              <w:t>1.1ETL数据采集工具</w:t>
            </w:r>
          </w:p>
          <w:p w14:paraId="69445F58">
            <w:pPr>
              <w:widowControl/>
              <w:tabs>
                <w:tab w:val="left" w:pos="312"/>
              </w:tabs>
              <w:wordWrap w:val="0"/>
              <w:spacing w:line="240" w:lineRule="auto"/>
              <w:ind w:firstLine="360" w:firstLineChars="200"/>
              <w:jc w:val="left"/>
              <w:rPr>
                <w:rFonts w:ascii="宋体" w:hAnsi="宋体" w:cs="宋体"/>
                <w:kern w:val="0"/>
                <w:sz w:val="18"/>
                <w:szCs w:val="18"/>
              </w:rPr>
            </w:pPr>
            <w:r>
              <w:rPr>
                <w:rFonts w:ascii="仿宋" w:hAnsi="仿宋" w:eastAsia="仿宋"/>
                <w:sz w:val="18"/>
                <w:szCs w:val="18"/>
              </w:rPr>
              <w:t>基于先进的技术架构进行开发，支持基于Web界面即可完成相关功能的配置，支持单机多线程模式完成</w:t>
            </w:r>
            <w:r>
              <w:rPr>
                <w:rFonts w:hint="eastAsia" w:ascii="仿宋" w:hAnsi="仿宋" w:eastAsia="仿宋"/>
                <w:sz w:val="18"/>
                <w:szCs w:val="18"/>
              </w:rPr>
              <w:t>ETL</w:t>
            </w:r>
            <w:r>
              <w:rPr>
                <w:rFonts w:ascii="仿宋" w:hAnsi="仿宋" w:eastAsia="仿宋"/>
                <w:sz w:val="18"/>
                <w:szCs w:val="18"/>
              </w:rPr>
              <w:t>任务的运行，支持进行分布式部署</w:t>
            </w:r>
            <w:r>
              <w:rPr>
                <w:rFonts w:hint="eastAsia" w:ascii="宋体" w:hAnsi="宋体" w:cs="宋体"/>
                <w:kern w:val="0"/>
                <w:sz w:val="18"/>
                <w:szCs w:val="18"/>
              </w:rPr>
              <w:t>。</w:t>
            </w:r>
          </w:p>
          <w:p w14:paraId="4DADC601">
            <w:pPr>
              <w:widowControl/>
              <w:tabs>
                <w:tab w:val="left" w:pos="312"/>
              </w:tabs>
              <w:wordWrap w:val="0"/>
              <w:spacing w:line="240" w:lineRule="auto"/>
              <w:jc w:val="left"/>
              <w:rPr>
                <w:rFonts w:ascii="宋体" w:hAnsi="宋体" w:cs="宋体"/>
                <w:b/>
                <w:bCs/>
                <w:kern w:val="0"/>
                <w:sz w:val="18"/>
                <w:szCs w:val="18"/>
              </w:rPr>
            </w:pPr>
            <w:r>
              <w:rPr>
                <w:rFonts w:hint="eastAsia" w:ascii="宋体" w:hAnsi="宋体" w:cs="宋体"/>
                <w:b/>
                <w:bCs/>
                <w:kern w:val="0"/>
                <w:sz w:val="18"/>
                <w:szCs w:val="18"/>
              </w:rPr>
              <w:t>1）ETL接口开发</w:t>
            </w:r>
          </w:p>
          <w:p w14:paraId="3337E070">
            <w:pPr>
              <w:widowControl/>
              <w:tabs>
                <w:tab w:val="left" w:pos="312"/>
              </w:tabs>
              <w:wordWrap w:val="0"/>
              <w:spacing w:line="240" w:lineRule="auto"/>
              <w:ind w:firstLine="360" w:firstLineChars="200"/>
              <w:jc w:val="left"/>
              <w:rPr>
                <w:rFonts w:ascii="仿宋" w:hAnsi="仿宋" w:eastAsia="仿宋"/>
                <w:sz w:val="18"/>
                <w:szCs w:val="18"/>
              </w:rPr>
            </w:pPr>
            <w:r>
              <w:rPr>
                <w:rFonts w:ascii="仿宋" w:hAnsi="仿宋" w:eastAsia="仿宋"/>
                <w:sz w:val="18"/>
                <w:szCs w:val="18"/>
              </w:rPr>
              <w:t>支持创建普通</w:t>
            </w:r>
            <w:r>
              <w:rPr>
                <w:rFonts w:hint="eastAsia" w:ascii="仿宋" w:hAnsi="仿宋" w:eastAsia="仿宋"/>
                <w:sz w:val="18"/>
                <w:szCs w:val="18"/>
              </w:rPr>
              <w:t>、批量</w:t>
            </w:r>
            <w:r>
              <w:rPr>
                <w:rFonts w:ascii="仿宋" w:hAnsi="仿宋" w:eastAsia="仿宋"/>
                <w:sz w:val="18"/>
                <w:szCs w:val="18"/>
              </w:rPr>
              <w:t>两种</w:t>
            </w:r>
            <w:r>
              <w:rPr>
                <w:rFonts w:hint="eastAsia" w:ascii="仿宋" w:hAnsi="仿宋" w:eastAsia="仿宋"/>
                <w:sz w:val="18"/>
                <w:szCs w:val="18"/>
              </w:rPr>
              <w:t>不同的ETL</w:t>
            </w:r>
            <w:r>
              <w:rPr>
                <w:rFonts w:ascii="仿宋" w:hAnsi="仿宋" w:eastAsia="仿宋"/>
                <w:sz w:val="18"/>
                <w:szCs w:val="18"/>
              </w:rPr>
              <w:t>接口</w:t>
            </w:r>
            <w:r>
              <w:rPr>
                <w:rFonts w:hint="eastAsia" w:ascii="仿宋" w:hAnsi="仿宋" w:eastAsia="仿宋"/>
                <w:sz w:val="18"/>
                <w:szCs w:val="18"/>
              </w:rPr>
              <w:t>创建方式</w:t>
            </w:r>
            <w:r>
              <w:rPr>
                <w:rFonts w:ascii="仿宋" w:hAnsi="仿宋" w:eastAsia="仿宋"/>
                <w:sz w:val="18"/>
                <w:szCs w:val="18"/>
              </w:rPr>
              <w:t>。</w:t>
            </w:r>
            <w:r>
              <w:rPr>
                <w:rFonts w:hint="eastAsia" w:ascii="仿宋" w:hAnsi="仿宋" w:eastAsia="仿宋"/>
                <w:sz w:val="18"/>
                <w:szCs w:val="18"/>
              </w:rPr>
              <w:t>支持各种选项配置，包括字符类型字段长度扩充倍数、Char类型是否转换成varchar类型、源表为空是否继续执行等；批量ETL</w:t>
            </w:r>
            <w:r>
              <w:rPr>
                <w:rFonts w:ascii="仿宋" w:hAnsi="仿宋" w:eastAsia="仿宋"/>
                <w:sz w:val="18"/>
                <w:szCs w:val="18"/>
              </w:rPr>
              <w:t>接口</w:t>
            </w:r>
            <w:r>
              <w:rPr>
                <w:rFonts w:hint="eastAsia" w:ascii="仿宋" w:hAnsi="仿宋" w:eastAsia="仿宋"/>
                <w:sz w:val="18"/>
                <w:szCs w:val="18"/>
              </w:rPr>
              <w:t>的</w:t>
            </w:r>
            <w:r>
              <w:rPr>
                <w:rFonts w:ascii="仿宋" w:hAnsi="仿宋" w:eastAsia="仿宋"/>
                <w:sz w:val="18"/>
                <w:szCs w:val="18"/>
              </w:rPr>
              <w:t>命名</w:t>
            </w:r>
            <w:r>
              <w:rPr>
                <w:rFonts w:hint="eastAsia" w:ascii="仿宋" w:hAnsi="仿宋" w:eastAsia="仿宋"/>
                <w:sz w:val="18"/>
                <w:szCs w:val="18"/>
              </w:rPr>
              <w:t>规则</w:t>
            </w:r>
            <w:r>
              <w:rPr>
                <w:rFonts w:ascii="仿宋" w:hAnsi="仿宋" w:eastAsia="仿宋"/>
                <w:sz w:val="18"/>
                <w:szCs w:val="18"/>
              </w:rPr>
              <w:t>可根据学校业务需求进行自定义配置。</w:t>
            </w:r>
          </w:p>
          <w:p w14:paraId="62E487BE">
            <w:pPr>
              <w:spacing w:line="240" w:lineRule="auto"/>
              <w:ind w:firstLine="360" w:firstLineChars="200"/>
              <w:rPr>
                <w:rFonts w:ascii="仿宋" w:hAnsi="仿宋" w:eastAsia="仿宋"/>
                <w:sz w:val="18"/>
                <w:szCs w:val="18"/>
              </w:rPr>
            </w:pPr>
            <w:r>
              <w:rPr>
                <w:rFonts w:hint="eastAsia" w:ascii="仿宋" w:hAnsi="仿宋" w:eastAsia="仿宋"/>
                <w:sz w:val="18"/>
                <w:szCs w:val="18"/>
              </w:rPr>
              <w:t>支持基于图形界面配置完成普通ETL接口的开发，完整配置ETL接口的各项参数，可支持将物理表、视图或SQL脚本定义为源表，可采用拖拽式操作配置字段映射关系，可在图形界面下配置主键字段、配置代码映射关系、多表关联规则、数据过滤规则、添加时间戳、应用SQL函数等。支持通过自定义SQL语句进行复杂逻辑的数据处理。</w:t>
            </w:r>
            <w:r>
              <w:rPr>
                <w:rFonts w:ascii="仿宋" w:hAnsi="仿宋" w:eastAsia="仿宋"/>
                <w:sz w:val="18"/>
                <w:szCs w:val="18"/>
              </w:rPr>
              <w:t>数据抽取方式需至少支持全量抽取和增量抽取两种类型。</w:t>
            </w:r>
          </w:p>
          <w:p w14:paraId="55602507">
            <w:pPr>
              <w:spacing w:line="240" w:lineRule="auto"/>
              <w:ind w:firstLine="360" w:firstLineChars="200"/>
              <w:rPr>
                <w:rFonts w:ascii="仿宋" w:hAnsi="仿宋" w:eastAsia="仿宋"/>
                <w:sz w:val="18"/>
                <w:szCs w:val="18"/>
              </w:rPr>
            </w:pPr>
            <w:r>
              <w:rPr>
                <w:rFonts w:ascii="仿宋" w:hAnsi="仿宋" w:eastAsia="仿宋"/>
                <w:sz w:val="18"/>
                <w:szCs w:val="18"/>
              </w:rPr>
              <w:t>支持将一个接口任务切分成多个数据</w:t>
            </w:r>
            <w:r>
              <w:rPr>
                <w:rFonts w:hint="eastAsia" w:ascii="仿宋" w:hAnsi="仿宋" w:eastAsia="仿宋"/>
                <w:sz w:val="18"/>
                <w:szCs w:val="18"/>
              </w:rPr>
              <w:t>块</w:t>
            </w:r>
            <w:r>
              <w:rPr>
                <w:rFonts w:ascii="仿宋" w:hAnsi="仿宋" w:eastAsia="仿宋"/>
                <w:sz w:val="18"/>
                <w:szCs w:val="18"/>
              </w:rPr>
              <w:t>执行，提高接口任务执行成功率；支持通过画布拖拽的方式进行源表和目标表的选择，支持按照表、视图、同义词、SQL查询的方式进行源表的选择，支持通过表名称或中文注释进行目标表的检索和选择</w:t>
            </w:r>
            <w:r>
              <w:rPr>
                <w:rFonts w:hint="eastAsia" w:ascii="仿宋" w:hAnsi="仿宋" w:eastAsia="仿宋"/>
                <w:sz w:val="18"/>
                <w:szCs w:val="18"/>
              </w:rPr>
              <w:t>。</w:t>
            </w:r>
          </w:p>
          <w:p w14:paraId="604A74B6">
            <w:pPr>
              <w:spacing w:line="240" w:lineRule="auto"/>
              <w:ind w:firstLine="360" w:firstLineChars="200"/>
              <w:rPr>
                <w:rFonts w:ascii="仿宋" w:hAnsi="仿宋" w:eastAsia="仿宋"/>
                <w:sz w:val="18"/>
                <w:szCs w:val="18"/>
              </w:rPr>
            </w:pPr>
            <w:r>
              <w:rPr>
                <w:rFonts w:hint="eastAsia" w:ascii="仿宋" w:hAnsi="仿宋" w:eastAsia="仿宋"/>
                <w:sz w:val="18"/>
                <w:szCs w:val="18"/>
              </w:rPr>
              <w:t>支持在图形化界面中配置代码映射关系。ETL执行过程中，自动引用代码映射规则，完成对目标表代码的标准化转换。该功能与自定义SQL语句中的数据处理逻辑联合使用、同步运行、同时生效。</w:t>
            </w:r>
          </w:p>
          <w:p w14:paraId="4351C68D">
            <w:pPr>
              <w:spacing w:line="240" w:lineRule="auto"/>
              <w:ind w:firstLine="360" w:firstLineChars="200"/>
              <w:rPr>
                <w:rFonts w:ascii="仿宋" w:hAnsi="仿宋" w:eastAsia="仿宋"/>
                <w:sz w:val="18"/>
                <w:szCs w:val="18"/>
              </w:rPr>
            </w:pPr>
            <w:r>
              <w:rPr>
                <w:rFonts w:hint="eastAsia" w:ascii="仿宋" w:hAnsi="仿宋" w:eastAsia="仿宋"/>
                <w:sz w:val="18"/>
                <w:szCs w:val="18"/>
              </w:rPr>
              <w:t>支持拉链表模式向目标数据对象同步数据，实现目标数据的内容只增不减，保存数据行级颗粒度的历史版本。</w:t>
            </w:r>
          </w:p>
          <w:p w14:paraId="50876EAE">
            <w:pPr>
              <w:spacing w:line="240" w:lineRule="auto"/>
              <w:ind w:firstLine="360" w:firstLineChars="200"/>
              <w:rPr>
                <w:rFonts w:ascii="仿宋" w:hAnsi="仿宋" w:eastAsia="仿宋"/>
                <w:sz w:val="18"/>
                <w:szCs w:val="18"/>
              </w:rPr>
            </w:pPr>
            <w:r>
              <w:rPr>
                <w:rFonts w:hint="eastAsia" w:ascii="仿宋" w:hAnsi="仿宋" w:eastAsia="仿宋"/>
                <w:sz w:val="18"/>
                <w:szCs w:val="18"/>
              </w:rPr>
              <w:t>支持多种数据采集，包含但不限于api接口数据，</w:t>
            </w:r>
            <w:r>
              <w:rPr>
                <w:rFonts w:ascii="仿宋" w:hAnsi="仿宋" w:eastAsia="仿宋"/>
                <w:sz w:val="18"/>
                <w:szCs w:val="18"/>
              </w:rPr>
              <w:t>MySQL</w:t>
            </w:r>
            <w:r>
              <w:rPr>
                <w:rFonts w:hint="eastAsia" w:ascii="仿宋" w:hAnsi="仿宋" w:eastAsia="仿宋"/>
                <w:sz w:val="18"/>
                <w:szCs w:val="18"/>
              </w:rPr>
              <w:t>数据</w:t>
            </w:r>
            <w:r>
              <w:rPr>
                <w:rFonts w:ascii="仿宋" w:hAnsi="仿宋" w:eastAsia="仿宋"/>
                <w:sz w:val="18"/>
                <w:szCs w:val="18"/>
              </w:rPr>
              <w:t>、Oracle</w:t>
            </w:r>
            <w:r>
              <w:rPr>
                <w:rFonts w:hint="eastAsia" w:ascii="仿宋" w:hAnsi="仿宋" w:eastAsia="仿宋"/>
                <w:sz w:val="18"/>
                <w:szCs w:val="18"/>
              </w:rPr>
              <w:t>数据</w:t>
            </w:r>
            <w:r>
              <w:rPr>
                <w:rFonts w:ascii="仿宋" w:hAnsi="仿宋" w:eastAsia="仿宋"/>
                <w:sz w:val="18"/>
                <w:szCs w:val="18"/>
              </w:rPr>
              <w:t>、SQLServer</w:t>
            </w:r>
            <w:r>
              <w:rPr>
                <w:rFonts w:hint="eastAsia" w:ascii="仿宋" w:hAnsi="仿宋" w:eastAsia="仿宋"/>
                <w:sz w:val="18"/>
                <w:szCs w:val="18"/>
              </w:rPr>
              <w:t>数据</w:t>
            </w:r>
            <w:r>
              <w:rPr>
                <w:rFonts w:ascii="仿宋" w:hAnsi="仿宋" w:eastAsia="仿宋"/>
                <w:sz w:val="18"/>
                <w:szCs w:val="18"/>
              </w:rPr>
              <w:t>、PostgreSQL</w:t>
            </w:r>
            <w:r>
              <w:rPr>
                <w:rFonts w:hint="eastAsia" w:ascii="仿宋" w:hAnsi="仿宋" w:eastAsia="仿宋"/>
                <w:sz w:val="18"/>
                <w:szCs w:val="18"/>
              </w:rPr>
              <w:t>数据等。</w:t>
            </w:r>
          </w:p>
          <w:p w14:paraId="4AA376C6">
            <w:pPr>
              <w:spacing w:line="240" w:lineRule="auto"/>
              <w:rPr>
                <w:rFonts w:ascii="宋体" w:hAnsi="宋体" w:cs="宋体"/>
                <w:b/>
                <w:kern w:val="0"/>
                <w:sz w:val="18"/>
                <w:szCs w:val="18"/>
              </w:rPr>
            </w:pPr>
            <w:r>
              <w:rPr>
                <w:rFonts w:hint="eastAsia" w:ascii="宋体" w:hAnsi="宋体" w:cs="宋体"/>
                <w:b/>
                <w:kern w:val="0"/>
                <w:sz w:val="18"/>
                <w:szCs w:val="18"/>
              </w:rPr>
              <w:t>2）异常情况处理</w:t>
            </w:r>
          </w:p>
          <w:p w14:paraId="3C903AF6">
            <w:pPr>
              <w:spacing w:line="240" w:lineRule="auto"/>
              <w:ind w:firstLine="360" w:firstLineChars="200"/>
              <w:rPr>
                <w:rFonts w:ascii="仿宋" w:hAnsi="仿宋" w:eastAsia="仿宋"/>
                <w:sz w:val="18"/>
                <w:szCs w:val="18"/>
              </w:rPr>
            </w:pPr>
            <w:r>
              <w:rPr>
                <w:rFonts w:hint="eastAsia" w:ascii="仿宋" w:hAnsi="仿宋" w:eastAsia="仿宋"/>
                <w:sz w:val="18"/>
                <w:szCs w:val="18"/>
              </w:rPr>
              <w:t>针对数据内容可能出现的异常情况，要求ETL功能在数据同步过程具备一定的预防性容错机制。包括：当源表为空表时，或当源表数据量与前一次同步时相比变化量超出设定的阈值时，接口将自动停止执行，交由人工确认后再决定是否执行。</w:t>
            </w:r>
          </w:p>
          <w:p w14:paraId="2250B2A4">
            <w:pPr>
              <w:spacing w:line="240" w:lineRule="auto"/>
              <w:ind w:firstLine="360" w:firstLineChars="200"/>
              <w:rPr>
                <w:rFonts w:ascii="仿宋" w:hAnsi="仿宋" w:eastAsia="仿宋"/>
                <w:sz w:val="18"/>
                <w:szCs w:val="18"/>
              </w:rPr>
            </w:pPr>
            <w:r>
              <w:rPr>
                <w:rFonts w:ascii="仿宋" w:hAnsi="仿宋" w:eastAsia="仿宋"/>
                <w:sz w:val="18"/>
                <w:szCs w:val="18"/>
              </w:rPr>
              <w:t>接口任务运行过程中个别数据错误时支持自动跳过并继续执行（避免整个接口运行失败），在接口执行成功后支持查看同步失败数据，只需重新对有错误记录的数据进行抽取即可</w:t>
            </w:r>
            <w:r>
              <w:rPr>
                <w:rFonts w:hint="eastAsia" w:ascii="仿宋" w:hAnsi="仿宋" w:eastAsia="仿宋"/>
                <w:sz w:val="18"/>
                <w:szCs w:val="18"/>
              </w:rPr>
              <w:t>。</w:t>
            </w:r>
          </w:p>
          <w:p w14:paraId="6253FA92">
            <w:pPr>
              <w:spacing w:line="240" w:lineRule="auto"/>
              <w:ind w:firstLine="360" w:firstLineChars="200"/>
              <w:rPr>
                <w:rFonts w:ascii="仿宋" w:hAnsi="仿宋" w:eastAsia="仿宋"/>
                <w:sz w:val="18"/>
                <w:szCs w:val="18"/>
              </w:rPr>
            </w:pPr>
            <w:r>
              <w:rPr>
                <w:rFonts w:hint="eastAsia" w:ascii="仿宋" w:hAnsi="仿宋" w:eastAsia="仿宋"/>
                <w:sz w:val="18"/>
                <w:szCs w:val="18"/>
              </w:rPr>
              <w:t>数据库连接可能出现的异常情况，要求ETL接口执行时具备合理的重试机制，当数据库连接失败、网络通讯故障等情况下，通过合理重试尽量提高接口运行的成功率。</w:t>
            </w:r>
          </w:p>
          <w:p w14:paraId="4DC1F4EE">
            <w:pPr>
              <w:spacing w:line="240" w:lineRule="auto"/>
              <w:rPr>
                <w:rFonts w:ascii="仿宋" w:hAnsi="仿宋" w:eastAsia="仿宋"/>
                <w:b/>
                <w:sz w:val="18"/>
                <w:szCs w:val="18"/>
              </w:rPr>
            </w:pPr>
            <w:r>
              <w:rPr>
                <w:rFonts w:hint="eastAsia" w:ascii="仿宋" w:hAnsi="仿宋" w:eastAsia="仿宋"/>
                <w:b/>
                <w:sz w:val="18"/>
                <w:szCs w:val="18"/>
              </w:rPr>
              <w:t>3）接口管理</w:t>
            </w:r>
          </w:p>
          <w:p w14:paraId="7C381D9A">
            <w:pPr>
              <w:spacing w:line="240" w:lineRule="auto"/>
              <w:ind w:firstLine="360" w:firstLineChars="200"/>
              <w:rPr>
                <w:rFonts w:ascii="仿宋" w:hAnsi="仿宋" w:eastAsia="仿宋"/>
                <w:sz w:val="18"/>
                <w:szCs w:val="18"/>
              </w:rPr>
            </w:pPr>
            <w:r>
              <w:rPr>
                <w:rFonts w:hint="eastAsia" w:ascii="仿宋" w:hAnsi="仿宋" w:eastAsia="仿宋"/>
                <w:sz w:val="18"/>
                <w:szCs w:val="18"/>
              </w:rPr>
              <w:t>具备丰富的ETL接口管理功能。可显示ETL接口的运行状态和结果。可展示ETL接口的等待、执行、队列、成功、失败和挂起等不同状态，用户可基于对状态进行检索，快速查找各种状态的接口。</w:t>
            </w:r>
          </w:p>
          <w:p w14:paraId="339C3174">
            <w:pPr>
              <w:spacing w:line="240" w:lineRule="auto"/>
              <w:ind w:firstLine="360" w:firstLineChars="200"/>
              <w:rPr>
                <w:rFonts w:ascii="仿宋" w:hAnsi="仿宋" w:eastAsia="仿宋"/>
                <w:sz w:val="18"/>
                <w:szCs w:val="18"/>
              </w:rPr>
            </w:pPr>
            <w:r>
              <w:rPr>
                <w:rFonts w:hint="eastAsia" w:ascii="仿宋" w:hAnsi="仿宋" w:eastAsia="仿宋"/>
                <w:sz w:val="18"/>
                <w:szCs w:val="18"/>
              </w:rPr>
              <w:t>可显示ETL接口的配置和数据状态。可查看接口的配置信息、状态监控和运行历史。状态监控和运行历史信息须包括运行结果、处理速率、堆积数据情况，每一次运行时读取、新增、修改、删除的记录数等，可查看每一次的详细运行日志，可快速定位日志中需要关注的重要信息，以提高排错效率。</w:t>
            </w:r>
          </w:p>
          <w:p w14:paraId="10ABBF8B">
            <w:pPr>
              <w:spacing w:line="240" w:lineRule="auto"/>
              <w:ind w:firstLine="360" w:firstLineChars="200"/>
              <w:rPr>
                <w:rFonts w:ascii="仿宋" w:hAnsi="仿宋" w:eastAsia="仿宋"/>
                <w:sz w:val="18"/>
                <w:szCs w:val="18"/>
              </w:rPr>
            </w:pPr>
            <w:r>
              <w:rPr>
                <w:rFonts w:hint="eastAsia" w:ascii="仿宋" w:hAnsi="仿宋" w:eastAsia="仿宋"/>
                <w:sz w:val="18"/>
                <w:szCs w:val="18"/>
              </w:rPr>
              <w:t>可对ETL接口的配置信息进行批量导入导出，以便快速完成接口信息的备份与还原操作。须支持基于对现有的ETL接口的复制编辑生成新接口。</w:t>
            </w:r>
            <w:r>
              <w:rPr>
                <w:rFonts w:ascii="仿宋" w:hAnsi="仿宋" w:eastAsia="仿宋"/>
                <w:sz w:val="18"/>
                <w:szCs w:val="18"/>
              </w:rPr>
              <w:t>管理员将接口删除后支持暂时存放至回收站，便于用户误删后的回复、弃用接口的重新启用及已删除接口的批量管理。</w:t>
            </w:r>
          </w:p>
          <w:p w14:paraId="5AD39079">
            <w:pPr>
              <w:spacing w:line="240" w:lineRule="auto"/>
              <w:ind w:firstLine="360" w:firstLineChars="200"/>
              <w:rPr>
                <w:rFonts w:ascii="仿宋" w:hAnsi="仿宋" w:eastAsia="仿宋"/>
                <w:sz w:val="18"/>
                <w:szCs w:val="18"/>
              </w:rPr>
            </w:pPr>
            <w:r>
              <w:rPr>
                <w:rFonts w:hint="eastAsia" w:ascii="仿宋" w:hAnsi="仿宋" w:eastAsia="仿宋"/>
                <w:sz w:val="18"/>
                <w:szCs w:val="18"/>
              </w:rPr>
              <w:t>可通过web界面对数据库存储过程、Shell脚本进行调用，可载入前期留存的存储过程/Shell脚本模板，快速创建新的存储过程/Shell脚本。</w:t>
            </w:r>
          </w:p>
          <w:p w14:paraId="4135ED54">
            <w:pPr>
              <w:spacing w:line="240" w:lineRule="auto"/>
              <w:ind w:firstLine="360" w:firstLineChars="200"/>
              <w:rPr>
                <w:rFonts w:ascii="仿宋" w:hAnsi="仿宋" w:eastAsia="仿宋"/>
                <w:sz w:val="18"/>
                <w:szCs w:val="18"/>
              </w:rPr>
            </w:pPr>
            <w:r>
              <w:rPr>
                <w:rFonts w:ascii="仿宋" w:hAnsi="仿宋" w:eastAsia="仿宋"/>
                <w:sz w:val="18"/>
                <w:szCs w:val="18"/>
              </w:rPr>
              <w:t>支持批量完成接口的</w:t>
            </w:r>
            <w:r>
              <w:rPr>
                <w:rFonts w:hint="eastAsia" w:ascii="仿宋" w:hAnsi="仿宋" w:eastAsia="仿宋"/>
                <w:sz w:val="18"/>
                <w:szCs w:val="18"/>
              </w:rPr>
              <w:t>管理和运行控制</w:t>
            </w:r>
            <w:r>
              <w:rPr>
                <w:rFonts w:ascii="仿宋" w:hAnsi="仿宋" w:eastAsia="仿宋"/>
                <w:sz w:val="18"/>
                <w:szCs w:val="18"/>
              </w:rPr>
              <w:t>，包括批量执行、批量终止执行、批量为接口设置分类、批量导出接口及批量删除接口</w:t>
            </w:r>
            <w:r>
              <w:rPr>
                <w:rFonts w:hint="eastAsia" w:ascii="仿宋" w:hAnsi="仿宋" w:eastAsia="仿宋"/>
                <w:sz w:val="18"/>
                <w:szCs w:val="18"/>
              </w:rPr>
              <w:t>。</w:t>
            </w:r>
          </w:p>
          <w:p w14:paraId="5BDBAC5F">
            <w:pPr>
              <w:spacing w:line="240" w:lineRule="auto"/>
              <w:ind w:firstLine="360" w:firstLineChars="200"/>
              <w:rPr>
                <w:rFonts w:ascii="仿宋" w:hAnsi="仿宋" w:eastAsia="仿宋"/>
                <w:sz w:val="18"/>
                <w:szCs w:val="18"/>
              </w:rPr>
            </w:pPr>
            <w:r>
              <w:rPr>
                <w:rFonts w:hint="eastAsia" w:ascii="仿宋" w:hAnsi="仿宋" w:eastAsia="仿宋"/>
                <w:sz w:val="18"/>
                <w:szCs w:val="18"/>
              </w:rPr>
              <w:t>为便于查看和管理大量接口，</w:t>
            </w:r>
            <w:r>
              <w:rPr>
                <w:rFonts w:ascii="仿宋" w:hAnsi="仿宋" w:eastAsia="仿宋"/>
                <w:sz w:val="18"/>
                <w:szCs w:val="18"/>
              </w:rPr>
              <w:t>支持自主进行接口分类</w:t>
            </w:r>
            <w:r>
              <w:rPr>
                <w:rFonts w:hint="eastAsia" w:ascii="仿宋" w:hAnsi="仿宋" w:eastAsia="仿宋"/>
                <w:sz w:val="18"/>
                <w:szCs w:val="18"/>
              </w:rPr>
              <w:t>管理</w:t>
            </w:r>
            <w:r>
              <w:rPr>
                <w:rFonts w:ascii="仿宋" w:hAnsi="仿宋" w:eastAsia="仿宋"/>
                <w:sz w:val="18"/>
                <w:szCs w:val="18"/>
              </w:rPr>
              <w:t>，可</w:t>
            </w:r>
            <w:r>
              <w:rPr>
                <w:rFonts w:hint="eastAsia" w:ascii="仿宋" w:hAnsi="仿宋" w:eastAsia="仿宋"/>
                <w:sz w:val="18"/>
                <w:szCs w:val="18"/>
              </w:rPr>
              <w:t>按需</w:t>
            </w:r>
            <w:r>
              <w:rPr>
                <w:rFonts w:ascii="仿宋" w:hAnsi="仿宋" w:eastAsia="仿宋"/>
                <w:sz w:val="18"/>
                <w:szCs w:val="18"/>
              </w:rPr>
              <w:t>将接口划分到不同的分类下</w:t>
            </w:r>
            <w:r>
              <w:rPr>
                <w:rFonts w:hint="eastAsia" w:ascii="仿宋" w:hAnsi="仿宋" w:eastAsia="仿宋"/>
                <w:sz w:val="18"/>
                <w:szCs w:val="18"/>
              </w:rPr>
              <w:t>。</w:t>
            </w:r>
            <w:r>
              <w:rPr>
                <w:rFonts w:ascii="仿宋" w:hAnsi="仿宋" w:eastAsia="仿宋"/>
                <w:sz w:val="18"/>
                <w:szCs w:val="18"/>
              </w:rPr>
              <w:t>支持按照接口名称、接口类型、接口状态、源库、目标库、只显示错误记录数进行接口的筛选和查看</w:t>
            </w:r>
            <w:r>
              <w:rPr>
                <w:rFonts w:hint="eastAsia" w:ascii="仿宋" w:hAnsi="仿宋" w:eastAsia="仿宋"/>
                <w:sz w:val="18"/>
                <w:szCs w:val="18"/>
              </w:rPr>
              <w:t>。</w:t>
            </w:r>
          </w:p>
          <w:p w14:paraId="76D07196">
            <w:pPr>
              <w:spacing w:line="240" w:lineRule="auto"/>
              <w:ind w:firstLine="360" w:firstLineChars="200"/>
              <w:rPr>
                <w:rFonts w:ascii="仿宋" w:hAnsi="仿宋" w:eastAsia="仿宋"/>
                <w:sz w:val="18"/>
                <w:szCs w:val="18"/>
              </w:rPr>
            </w:pPr>
            <w:r>
              <w:rPr>
                <w:rFonts w:ascii="仿宋" w:hAnsi="仿宋" w:eastAsia="仿宋"/>
                <w:sz w:val="18"/>
                <w:szCs w:val="18"/>
              </w:rPr>
              <w:t>支持进行接口配置信息、接口监控信息和接口运行历史信息的查看，接口监控信息支持对接口成功率、平均处理速率、堆积数据情况进行查看，支持对独处记录数、新增记录数、修改记录数、删除记录数、错误记录数、接口日志进行查看；</w:t>
            </w:r>
          </w:p>
          <w:p w14:paraId="02B63877">
            <w:pPr>
              <w:spacing w:line="240" w:lineRule="auto"/>
              <w:ind w:firstLine="360" w:firstLineChars="200"/>
              <w:rPr>
                <w:rFonts w:ascii="仿宋" w:hAnsi="仿宋" w:eastAsia="仿宋"/>
                <w:sz w:val="18"/>
                <w:szCs w:val="18"/>
              </w:rPr>
            </w:pPr>
            <w:r>
              <w:rPr>
                <w:rFonts w:ascii="仿宋" w:hAnsi="仿宋" w:eastAsia="仿宋"/>
                <w:sz w:val="18"/>
                <w:szCs w:val="18"/>
              </w:rPr>
              <w:t>接口日志支持通过定位关键字</w:t>
            </w:r>
            <w:r>
              <w:rPr>
                <w:rFonts w:hint="eastAsia" w:ascii="仿宋" w:hAnsi="仿宋" w:eastAsia="仿宋"/>
                <w:sz w:val="18"/>
                <w:szCs w:val="18"/>
              </w:rPr>
              <w:t>如“</w:t>
            </w:r>
            <w:r>
              <w:rPr>
                <w:rFonts w:ascii="仿宋" w:hAnsi="仿宋" w:eastAsia="仿宋"/>
                <w:sz w:val="18"/>
                <w:szCs w:val="18"/>
              </w:rPr>
              <w:t>error</w:t>
            </w:r>
            <w:r>
              <w:rPr>
                <w:rFonts w:hint="eastAsia" w:ascii="仿宋" w:hAnsi="仿宋" w:eastAsia="仿宋"/>
                <w:sz w:val="18"/>
                <w:szCs w:val="18"/>
              </w:rPr>
              <w:t>”</w:t>
            </w:r>
            <w:r>
              <w:rPr>
                <w:rFonts w:ascii="仿宋" w:hAnsi="仿宋" w:eastAsia="仿宋"/>
                <w:sz w:val="18"/>
                <w:szCs w:val="18"/>
              </w:rPr>
              <w:t>、</w:t>
            </w:r>
            <w:r>
              <w:rPr>
                <w:rFonts w:hint="eastAsia" w:ascii="仿宋" w:hAnsi="仿宋" w:eastAsia="仿宋"/>
                <w:sz w:val="18"/>
                <w:szCs w:val="18"/>
              </w:rPr>
              <w:t>“</w:t>
            </w:r>
            <w:r>
              <w:rPr>
                <w:rFonts w:ascii="仿宋" w:hAnsi="仿宋" w:eastAsia="仿宋"/>
                <w:sz w:val="18"/>
                <w:szCs w:val="18"/>
              </w:rPr>
              <w:t>warn</w:t>
            </w:r>
            <w:r>
              <w:rPr>
                <w:rFonts w:hint="eastAsia" w:ascii="仿宋" w:hAnsi="仿宋" w:eastAsia="仿宋"/>
                <w:sz w:val="18"/>
                <w:szCs w:val="18"/>
              </w:rPr>
              <w:t>”等</w:t>
            </w:r>
            <w:r>
              <w:rPr>
                <w:rFonts w:ascii="仿宋" w:hAnsi="仿宋" w:eastAsia="仿宋"/>
                <w:sz w:val="18"/>
                <w:szCs w:val="18"/>
              </w:rPr>
              <w:t>进行详细错误日志的查看，支持错误日志的全屏查看和复制</w:t>
            </w:r>
            <w:r>
              <w:rPr>
                <w:rFonts w:hint="eastAsia" w:ascii="仿宋" w:hAnsi="仿宋" w:eastAsia="仿宋"/>
                <w:sz w:val="18"/>
                <w:szCs w:val="18"/>
              </w:rPr>
              <w:t>。</w:t>
            </w:r>
          </w:p>
          <w:p w14:paraId="574AE8F3">
            <w:pPr>
              <w:spacing w:line="240" w:lineRule="auto"/>
              <w:rPr>
                <w:rFonts w:ascii="宋体" w:hAnsi="宋体" w:cs="宋体"/>
                <w:b/>
                <w:kern w:val="0"/>
                <w:sz w:val="18"/>
                <w:szCs w:val="18"/>
              </w:rPr>
            </w:pPr>
            <w:r>
              <w:rPr>
                <w:rFonts w:hint="eastAsia" w:ascii="宋体" w:hAnsi="宋体" w:cs="宋体"/>
                <w:b/>
                <w:kern w:val="0"/>
                <w:sz w:val="18"/>
                <w:szCs w:val="18"/>
              </w:rPr>
              <w:t>4）性能</w:t>
            </w:r>
          </w:p>
          <w:p w14:paraId="781B89EF">
            <w:pPr>
              <w:spacing w:line="240" w:lineRule="auto"/>
              <w:ind w:firstLine="360" w:firstLineChars="200"/>
              <w:rPr>
                <w:rFonts w:ascii="仿宋" w:hAnsi="仿宋" w:eastAsia="仿宋"/>
                <w:szCs w:val="21"/>
              </w:rPr>
            </w:pPr>
            <w:r>
              <w:rPr>
                <w:rFonts w:hint="eastAsia" w:ascii="仿宋" w:hAnsi="仿宋" w:eastAsia="仿宋"/>
                <w:sz w:val="18"/>
                <w:szCs w:val="18"/>
              </w:rPr>
              <w:t>数据采集性能要求单节点离线抽取速率不低于50Mb/s，最大平均速率不低于20W条/秒，实时抽取效率可实现秒级同步，实时抽取单节点最高可支撑至少20M的峰值流量</w:t>
            </w:r>
            <w:r>
              <w:rPr>
                <w:rFonts w:hint="eastAsia" w:ascii="仿宋" w:hAnsi="仿宋" w:eastAsia="仿宋"/>
                <w:szCs w:val="21"/>
              </w:rPr>
              <w:t>。</w:t>
            </w:r>
          </w:p>
          <w:p w14:paraId="0A66E756">
            <w:pPr>
              <w:spacing w:line="240" w:lineRule="auto"/>
              <w:rPr>
                <w:rFonts w:ascii="仿宋" w:hAnsi="仿宋" w:eastAsia="仿宋"/>
                <w:b/>
                <w:sz w:val="18"/>
                <w:szCs w:val="18"/>
              </w:rPr>
            </w:pPr>
            <w:r>
              <w:rPr>
                <w:rFonts w:hint="eastAsia" w:ascii="仿宋" w:hAnsi="仿宋" w:eastAsia="仿宋"/>
                <w:b/>
                <w:sz w:val="18"/>
                <w:szCs w:val="18"/>
              </w:rPr>
              <w:t>5）任务调度</w:t>
            </w:r>
          </w:p>
          <w:p w14:paraId="12044696">
            <w:pPr>
              <w:spacing w:line="240" w:lineRule="auto"/>
              <w:ind w:firstLine="360" w:firstLineChars="200"/>
              <w:rPr>
                <w:rFonts w:ascii="仿宋" w:hAnsi="仿宋" w:eastAsia="仿宋"/>
                <w:sz w:val="18"/>
                <w:szCs w:val="18"/>
              </w:rPr>
            </w:pPr>
            <w:r>
              <w:rPr>
                <w:rFonts w:ascii="仿宋" w:hAnsi="仿宋" w:eastAsia="仿宋"/>
                <w:sz w:val="18"/>
                <w:szCs w:val="18"/>
              </w:rPr>
              <w:t>支持基于web界面的调度任务创建，为降低使用门槛，产品需支持通过拖拽的方式实现同步任务、异步任务、串行、并行、任务流的创建，可根据我校数据的业务属性创建不同的执行频率或周期，支持单次或者周期性任务创建；</w:t>
            </w:r>
          </w:p>
          <w:p w14:paraId="17936401">
            <w:pPr>
              <w:spacing w:line="240" w:lineRule="auto"/>
              <w:ind w:firstLine="360" w:firstLineChars="200"/>
              <w:rPr>
                <w:rFonts w:ascii="仿宋" w:hAnsi="仿宋" w:eastAsia="仿宋"/>
                <w:sz w:val="18"/>
                <w:szCs w:val="18"/>
              </w:rPr>
            </w:pPr>
            <w:r>
              <w:rPr>
                <w:rFonts w:ascii="仿宋" w:hAnsi="仿宋" w:eastAsia="仿宋"/>
                <w:sz w:val="18"/>
                <w:szCs w:val="18"/>
              </w:rPr>
              <w:t>支持基于Web界面的画布功能快速进行调度任务的创建，包括批量导入调度任务（接口、存储过程、Shell脚本）、自动连接接口、一键格式化、调度任务保存（调度任务名称、调度任务分类、任务类型、执行频率、执行时间、任务有效期等信息的配置）；管理员将调度任务删除后支持暂时存放至回收站，便于用户误删后的回复、弃用任务的重新启用及已删除调度任务的批量管理功能。</w:t>
            </w:r>
          </w:p>
          <w:p w14:paraId="057321A4">
            <w:pPr>
              <w:spacing w:line="240" w:lineRule="auto"/>
              <w:rPr>
                <w:rFonts w:ascii="仿宋" w:hAnsi="仿宋" w:eastAsia="仿宋"/>
                <w:b/>
                <w:sz w:val="18"/>
                <w:szCs w:val="18"/>
              </w:rPr>
            </w:pPr>
            <w:r>
              <w:rPr>
                <w:rFonts w:hint="eastAsia" w:ascii="仿宋" w:hAnsi="仿宋" w:eastAsia="仿宋"/>
                <w:b/>
                <w:sz w:val="18"/>
                <w:szCs w:val="18"/>
              </w:rPr>
              <w:t>6）告警</w:t>
            </w:r>
          </w:p>
          <w:p w14:paraId="170DFF5A">
            <w:pPr>
              <w:spacing w:line="240" w:lineRule="auto"/>
              <w:ind w:firstLine="360" w:firstLineChars="200"/>
              <w:rPr>
                <w:rFonts w:ascii="仿宋" w:hAnsi="仿宋" w:eastAsia="仿宋"/>
                <w:sz w:val="18"/>
                <w:szCs w:val="18"/>
              </w:rPr>
            </w:pPr>
            <w:r>
              <w:rPr>
                <w:rFonts w:ascii="仿宋" w:hAnsi="仿宋" w:eastAsia="仿宋"/>
                <w:sz w:val="18"/>
                <w:szCs w:val="18"/>
              </w:rPr>
              <w:t>为便于管理人员第一时间掌握</w:t>
            </w:r>
            <w:r>
              <w:rPr>
                <w:rFonts w:hint="eastAsia" w:ascii="仿宋" w:hAnsi="仿宋" w:eastAsia="仿宋"/>
                <w:sz w:val="18"/>
                <w:szCs w:val="18"/>
              </w:rPr>
              <w:t>ETL</w:t>
            </w:r>
            <w:r>
              <w:rPr>
                <w:rFonts w:ascii="仿宋" w:hAnsi="仿宋" w:eastAsia="仿宋"/>
                <w:sz w:val="18"/>
                <w:szCs w:val="18"/>
              </w:rPr>
              <w:t>接口故障，产品支持创建告警任务，对</w:t>
            </w:r>
            <w:r>
              <w:rPr>
                <w:rFonts w:hint="eastAsia" w:ascii="仿宋" w:hAnsi="仿宋" w:eastAsia="仿宋"/>
                <w:sz w:val="18"/>
                <w:szCs w:val="18"/>
              </w:rPr>
              <w:t>ETL</w:t>
            </w:r>
            <w:r>
              <w:rPr>
                <w:rFonts w:ascii="仿宋" w:hAnsi="仿宋" w:eastAsia="仿宋"/>
                <w:sz w:val="18"/>
                <w:szCs w:val="18"/>
              </w:rPr>
              <w:t>接口的运行状态进行告警监控，可根据不同的业务需求设置告警的触发事件。支持查看告警任务，当任务中的接口满足触发事件时，至少可通过邮件对指定邮箱进行告警，并支持查询历史邮件告警日志记录，便于管理员第一时间掌握同步故障。</w:t>
            </w:r>
          </w:p>
          <w:p w14:paraId="432DD7FA">
            <w:pPr>
              <w:widowControl/>
              <w:tabs>
                <w:tab w:val="left" w:pos="312"/>
              </w:tabs>
              <w:wordWrap w:val="0"/>
              <w:spacing w:line="240" w:lineRule="auto"/>
              <w:jc w:val="left"/>
              <w:rPr>
                <w:rFonts w:ascii="宋体" w:hAnsi="宋体" w:cs="宋体"/>
                <w:b/>
                <w:bCs/>
                <w:kern w:val="0"/>
                <w:sz w:val="18"/>
                <w:szCs w:val="18"/>
              </w:rPr>
            </w:pPr>
            <w:r>
              <w:rPr>
                <w:rFonts w:hint="eastAsia" w:ascii="宋体" w:hAnsi="宋体" w:cs="宋体"/>
                <w:kern w:val="0"/>
                <w:sz w:val="18"/>
                <w:szCs w:val="18"/>
              </w:rPr>
              <w:t>1.2</w:t>
            </w:r>
            <w:r>
              <w:rPr>
                <w:rFonts w:hint="eastAsia" w:ascii="宋体" w:hAnsi="宋体" w:cs="宋体"/>
                <w:b/>
                <w:bCs/>
                <w:kern w:val="0"/>
                <w:sz w:val="18"/>
                <w:szCs w:val="18"/>
              </w:rPr>
              <w:t>非结构化数据采集</w:t>
            </w:r>
          </w:p>
          <w:p w14:paraId="7D086090">
            <w:pPr>
              <w:widowControl/>
              <w:spacing w:line="240" w:lineRule="auto"/>
              <w:ind w:firstLine="360" w:firstLineChars="200"/>
              <w:jc w:val="left"/>
              <w:rPr>
                <w:rFonts w:ascii="仿宋" w:hAnsi="仿宋" w:eastAsia="仿宋"/>
                <w:sz w:val="18"/>
                <w:szCs w:val="18"/>
              </w:rPr>
            </w:pPr>
            <w:r>
              <w:rPr>
                <w:rFonts w:hint="eastAsia" w:ascii="仿宋" w:hAnsi="仿宋" w:eastAsia="仿宋"/>
                <w:sz w:val="18"/>
                <w:szCs w:val="18"/>
              </w:rPr>
              <w:t>针对图片、pdf、office文件、多媒体文件等文档类对象进行自动化批量采集，存储到分布式文件系统中，并进行元数据提取和分类编目，将文档对象与数据仓库中的结构化数据进行关联，提供按类目检索和关键字检索等功能。用于实现非结构化文档对象的持久化存储、资产化管理和对外开放服务，帮助应用程序获取文档对象支撑其业务运行。</w:t>
            </w:r>
          </w:p>
          <w:p w14:paraId="324B3429">
            <w:pPr>
              <w:widowControl/>
              <w:tabs>
                <w:tab w:val="left" w:pos="312"/>
              </w:tabs>
              <w:wordWrap w:val="0"/>
              <w:spacing w:line="240" w:lineRule="auto"/>
              <w:ind w:firstLine="360" w:firstLineChars="200"/>
              <w:jc w:val="left"/>
              <w:rPr>
                <w:rFonts w:ascii="仿宋" w:hAnsi="仿宋" w:eastAsia="仿宋"/>
                <w:sz w:val="18"/>
                <w:szCs w:val="18"/>
              </w:rPr>
            </w:pPr>
            <w:r>
              <w:rPr>
                <w:rFonts w:hint="eastAsia" w:ascii="仿宋" w:hAnsi="仿宋" w:eastAsia="仿宋"/>
                <w:sz w:val="18"/>
                <w:szCs w:val="18"/>
              </w:rPr>
              <w:t>要求具备访问鉴权功能，确保获取的文档下载链接仅在指定授权时段有效。</w:t>
            </w:r>
          </w:p>
          <w:p w14:paraId="6C882A28">
            <w:pPr>
              <w:widowControl/>
              <w:tabs>
                <w:tab w:val="left" w:pos="312"/>
              </w:tabs>
              <w:wordWrap w:val="0"/>
              <w:spacing w:line="240" w:lineRule="auto"/>
              <w:jc w:val="left"/>
              <w:rPr>
                <w:rFonts w:ascii="仿宋" w:hAnsi="仿宋" w:eastAsia="仿宋"/>
                <w:b/>
                <w:sz w:val="18"/>
                <w:szCs w:val="18"/>
              </w:rPr>
            </w:pPr>
            <w:r>
              <w:rPr>
                <w:rFonts w:hint="eastAsia" w:ascii="仿宋" w:hAnsi="仿宋" w:eastAsia="仿宋"/>
                <w:b/>
                <w:sz w:val="18"/>
                <w:szCs w:val="18"/>
              </w:rPr>
              <w:t>1.3线下数据采集</w:t>
            </w:r>
          </w:p>
          <w:p w14:paraId="743D845E">
            <w:pPr>
              <w:widowControl/>
              <w:tabs>
                <w:tab w:val="left" w:pos="312"/>
              </w:tabs>
              <w:wordWrap w:val="0"/>
              <w:spacing w:line="240" w:lineRule="auto"/>
              <w:ind w:firstLine="360" w:firstLineChars="200"/>
              <w:jc w:val="left"/>
              <w:rPr>
                <w:rFonts w:ascii="仿宋" w:hAnsi="仿宋" w:eastAsia="仿宋"/>
                <w:sz w:val="18"/>
                <w:szCs w:val="18"/>
              </w:rPr>
            </w:pPr>
            <w:r>
              <w:rPr>
                <w:rFonts w:hint="eastAsia" w:ascii="仿宋" w:hAnsi="仿宋" w:eastAsia="仿宋"/>
                <w:sz w:val="18"/>
                <w:szCs w:val="18"/>
              </w:rPr>
              <w:t>支持</w:t>
            </w:r>
            <w:r>
              <w:rPr>
                <w:rFonts w:ascii="仿宋" w:hAnsi="仿宋" w:eastAsia="仿宋"/>
                <w:sz w:val="18"/>
                <w:szCs w:val="18"/>
              </w:rPr>
              <w:t>电子表格数据进行采集入库、标准化处理、线上化维护的能力，使非专业数据操作者能够对这些数据进行便利的查询、维护、更新，并使这些数据成为可在全校共享流通的线上数据资源。</w:t>
            </w:r>
          </w:p>
          <w:p w14:paraId="0EE5AC68">
            <w:pPr>
              <w:widowControl/>
              <w:tabs>
                <w:tab w:val="left" w:pos="312"/>
              </w:tabs>
              <w:wordWrap w:val="0"/>
              <w:spacing w:line="240" w:lineRule="auto"/>
              <w:ind w:firstLine="360" w:firstLineChars="200"/>
              <w:jc w:val="left"/>
              <w:rPr>
                <w:rFonts w:ascii="仿宋" w:hAnsi="仿宋" w:eastAsia="仿宋"/>
                <w:sz w:val="18"/>
                <w:szCs w:val="18"/>
              </w:rPr>
            </w:pPr>
            <w:r>
              <w:rPr>
                <w:rFonts w:ascii="仿宋" w:hAnsi="仿宋" w:eastAsia="仿宋"/>
                <w:sz w:val="18"/>
                <w:szCs w:val="18"/>
              </w:rPr>
              <w:t>支持对指定的字段进行格式或规范约束。当用户在该字段中填入或导入不符合规范的数据时，系统应拒绝该数据的提交，并给出明确的提示。为保障用户填报或导入数据符合数据标准的代码定义，产品需支持对指定的字段绑定数据标准中定义的代码表。绑定后，当用户在填入数据时，系统应提供下拉选项供用户选择输入。批量导入数据时，若数值与代码不符，系统应拒绝该数据导入。</w:t>
            </w:r>
          </w:p>
          <w:p w14:paraId="76B3B09A">
            <w:pPr>
              <w:widowControl/>
              <w:tabs>
                <w:tab w:val="left" w:pos="312"/>
              </w:tabs>
              <w:wordWrap w:val="0"/>
              <w:spacing w:line="240" w:lineRule="auto"/>
              <w:ind w:firstLine="360" w:firstLineChars="200"/>
              <w:jc w:val="left"/>
              <w:rPr>
                <w:rFonts w:ascii="仿宋" w:hAnsi="仿宋" w:eastAsia="仿宋"/>
                <w:sz w:val="18"/>
                <w:szCs w:val="18"/>
              </w:rPr>
            </w:pPr>
            <w:r>
              <w:rPr>
                <w:rFonts w:ascii="仿宋" w:hAnsi="仿宋" w:eastAsia="仿宋"/>
                <w:sz w:val="18"/>
                <w:szCs w:val="18"/>
              </w:rPr>
              <w:t>支持多个部门使用同一个表格进行数据维护，且需支持对不同部门的数据操作权限进行必要的隔离。即在同一表格下，某部门下的多个用户可以共同维护本部门数据，但不得查看和操作其他部门的数据。在同一表格中，若部分数据的管理权发生变更，需支持管理员手工调整这些数据的部门归属，使数据的操作权限从原部门转移到新部门。</w:t>
            </w:r>
          </w:p>
          <w:p w14:paraId="02CE4B5A">
            <w:pPr>
              <w:widowControl/>
              <w:tabs>
                <w:tab w:val="left" w:pos="312"/>
              </w:tabs>
              <w:wordWrap w:val="0"/>
              <w:spacing w:line="240" w:lineRule="auto"/>
              <w:ind w:firstLine="360" w:firstLineChars="200"/>
              <w:jc w:val="left"/>
              <w:rPr>
                <w:rFonts w:ascii="仿宋" w:hAnsi="仿宋" w:eastAsia="仿宋"/>
                <w:sz w:val="18"/>
                <w:szCs w:val="18"/>
              </w:rPr>
            </w:pPr>
            <w:r>
              <w:rPr>
                <w:rFonts w:ascii="仿宋" w:hAnsi="仿宋" w:eastAsia="仿宋"/>
                <w:sz w:val="18"/>
                <w:szCs w:val="18"/>
              </w:rPr>
              <w:t>支持对每一行数据自动化添加操作者的个人标记。管理员可以基于该标记确认该行数据是由哪个用户录入或导入。为实现多人协同维护同一张表的不同信息项，系统需支持对于同一张表的多个字段，对不同用户分别授权可查看、可编辑的字段范围。授权后，用户在该表中只能查看具有查看权限的字段，只能查看和编辑具有编辑权限的字段。</w:t>
            </w:r>
          </w:p>
          <w:p w14:paraId="69876DB9">
            <w:pPr>
              <w:widowControl/>
              <w:tabs>
                <w:tab w:val="left" w:pos="312"/>
              </w:tabs>
              <w:wordWrap w:val="0"/>
              <w:spacing w:line="240" w:lineRule="auto"/>
              <w:ind w:firstLine="360" w:firstLineChars="200"/>
              <w:jc w:val="left"/>
              <w:rPr>
                <w:rFonts w:ascii="仿宋" w:hAnsi="仿宋" w:eastAsia="仿宋"/>
                <w:sz w:val="18"/>
                <w:szCs w:val="18"/>
              </w:rPr>
            </w:pPr>
            <w:r>
              <w:rPr>
                <w:rFonts w:ascii="仿宋" w:hAnsi="仿宋" w:eastAsia="仿宋"/>
                <w:sz w:val="18"/>
                <w:szCs w:val="18"/>
              </w:rPr>
              <w:t>支持对多值字段进行自动拆分处理，以提升数据的规范性。用户可以继续按照</w:t>
            </w:r>
            <w:r>
              <w:rPr>
                <w:rFonts w:hint="eastAsia" w:ascii="仿宋" w:hAnsi="仿宋" w:eastAsia="仿宋"/>
                <w:sz w:val="18"/>
                <w:szCs w:val="18"/>
              </w:rPr>
              <w:t>过往的填报</w:t>
            </w:r>
            <w:r>
              <w:rPr>
                <w:rFonts w:ascii="仿宋" w:hAnsi="仿宋" w:eastAsia="仿宋"/>
                <w:sz w:val="18"/>
                <w:szCs w:val="18"/>
              </w:rPr>
              <w:t>习惯将多个数值填入一个字段，系统需支持基于分隔符将一个字段中的多个数值拆分成为多行数据，并在新行中自动继承其他字段的取值。需支持对一张表的多个字段同时进行拆分处理。需支持将拆分后的数据通过与其他表的数据进行匹配关联，将其他表的若干字段引入该表，成为组成表的数据项。当其他表中被关联字段的内容发生更新时，该表中对应字段信息需自动更新。</w:t>
            </w:r>
          </w:p>
          <w:p w14:paraId="40934AB6">
            <w:pPr>
              <w:widowControl/>
              <w:tabs>
                <w:tab w:val="left" w:pos="312"/>
              </w:tabs>
              <w:wordWrap w:val="0"/>
              <w:spacing w:line="240" w:lineRule="auto"/>
              <w:ind w:firstLine="360" w:firstLineChars="200"/>
              <w:jc w:val="left"/>
              <w:rPr>
                <w:rFonts w:ascii="仿宋" w:hAnsi="仿宋" w:eastAsia="仿宋"/>
                <w:sz w:val="18"/>
                <w:szCs w:val="18"/>
              </w:rPr>
            </w:pPr>
            <w:r>
              <w:rPr>
                <w:rFonts w:ascii="仿宋" w:hAnsi="仿宋" w:eastAsia="仿宋"/>
                <w:sz w:val="18"/>
                <w:szCs w:val="18"/>
              </w:rPr>
              <w:t>为提醒数据填报者及时进行数据填报或维护，系统需支持对指定的填报者以邮件或企业微信的方式自动推送消息提醒，支持周期性提醒。支持管理员对表格中的全部数据进行查看、编辑、授权、导出。</w:t>
            </w:r>
          </w:p>
          <w:p w14:paraId="338AB9A2">
            <w:pPr>
              <w:widowControl/>
              <w:tabs>
                <w:tab w:val="left" w:pos="312"/>
              </w:tabs>
              <w:wordWrap w:val="0"/>
              <w:spacing w:line="240" w:lineRule="auto"/>
              <w:jc w:val="left"/>
              <w:rPr>
                <w:rFonts w:ascii="宋体" w:hAnsi="宋体" w:cs="宋体"/>
                <w:b/>
                <w:bCs/>
                <w:kern w:val="0"/>
                <w:sz w:val="18"/>
                <w:szCs w:val="18"/>
              </w:rPr>
            </w:pPr>
            <w:r>
              <w:rPr>
                <w:rFonts w:hint="eastAsia" w:ascii="宋体" w:hAnsi="宋体" w:cs="宋体"/>
                <w:b/>
                <w:bCs/>
                <w:kern w:val="0"/>
                <w:sz w:val="18"/>
                <w:szCs w:val="18"/>
              </w:rPr>
              <w:t>1.4数据源管理</w:t>
            </w:r>
          </w:p>
          <w:p w14:paraId="7F57A98A">
            <w:pPr>
              <w:spacing w:line="240" w:lineRule="auto"/>
              <w:ind w:firstLine="360" w:firstLineChars="200"/>
              <w:rPr>
                <w:rFonts w:ascii="仿宋" w:hAnsi="仿宋" w:eastAsia="仿宋"/>
                <w:sz w:val="18"/>
                <w:szCs w:val="18"/>
              </w:rPr>
            </w:pPr>
            <w:r>
              <w:rPr>
                <w:rFonts w:ascii="仿宋" w:hAnsi="仿宋" w:eastAsia="仿宋"/>
                <w:sz w:val="18"/>
                <w:szCs w:val="18"/>
              </w:rPr>
              <w:t>支持技术架构先进、速度快、稳定性高、可靠性高的数据库连接池，并在投标文件中须提供对应的功能截图；</w:t>
            </w:r>
          </w:p>
          <w:p w14:paraId="5CC2DAE7">
            <w:pPr>
              <w:spacing w:line="240" w:lineRule="auto"/>
              <w:ind w:firstLine="360" w:firstLineChars="200"/>
              <w:rPr>
                <w:rFonts w:ascii="仿宋" w:hAnsi="仿宋" w:eastAsia="仿宋"/>
                <w:sz w:val="18"/>
                <w:szCs w:val="18"/>
              </w:rPr>
            </w:pPr>
            <w:r>
              <w:rPr>
                <w:rFonts w:ascii="仿宋" w:hAnsi="仿宋" w:eastAsia="仿宋"/>
                <w:sz w:val="18"/>
                <w:szCs w:val="18"/>
              </w:rPr>
              <w:t>支持添加、编辑和删除关系型数据库（MySQL、Oracle、SQLServer、PostgreSQL、达梦数据库等）、非关系型数据库（Hive、Kafka、MongoDB、Redis等）、Hadoop平台（CDH、MRS、TDBS等）数据源；若添加</w:t>
            </w:r>
            <w:r>
              <w:rPr>
                <w:rFonts w:hint="eastAsia" w:ascii="仿宋" w:hAnsi="仿宋" w:eastAsia="仿宋"/>
                <w:sz w:val="18"/>
                <w:szCs w:val="18"/>
              </w:rPr>
              <w:t>的数据库属于</w:t>
            </w:r>
            <w:r>
              <w:rPr>
                <w:rFonts w:ascii="仿宋" w:hAnsi="仿宋" w:eastAsia="仿宋"/>
                <w:sz w:val="18"/>
                <w:szCs w:val="18"/>
              </w:rPr>
              <w:t>数据仓库</w:t>
            </w:r>
            <w:r>
              <w:rPr>
                <w:rFonts w:hint="eastAsia" w:ascii="仿宋" w:hAnsi="仿宋" w:eastAsia="仿宋"/>
                <w:sz w:val="18"/>
                <w:szCs w:val="18"/>
              </w:rPr>
              <w:t>本身自用的存储容器，要求</w:t>
            </w:r>
            <w:r>
              <w:rPr>
                <w:rFonts w:ascii="仿宋" w:hAnsi="仿宋" w:eastAsia="仿宋"/>
                <w:sz w:val="18"/>
                <w:szCs w:val="18"/>
              </w:rPr>
              <w:t>支持一键</w:t>
            </w:r>
            <w:r>
              <w:rPr>
                <w:rFonts w:hint="eastAsia" w:ascii="仿宋" w:hAnsi="仿宋" w:eastAsia="仿宋"/>
                <w:sz w:val="18"/>
                <w:szCs w:val="18"/>
              </w:rPr>
              <w:t>标注，使该数据库注册为数据仓库</w:t>
            </w:r>
            <w:r>
              <w:rPr>
                <w:rFonts w:ascii="仿宋" w:hAnsi="仿宋" w:eastAsia="仿宋"/>
                <w:sz w:val="18"/>
                <w:szCs w:val="18"/>
              </w:rPr>
              <w:t>；</w:t>
            </w:r>
          </w:p>
          <w:p w14:paraId="20E9FBF8">
            <w:pPr>
              <w:spacing w:line="240" w:lineRule="auto"/>
              <w:ind w:firstLine="360" w:firstLineChars="200"/>
              <w:rPr>
                <w:rFonts w:ascii="仿宋" w:hAnsi="仿宋" w:eastAsia="仿宋"/>
                <w:sz w:val="18"/>
                <w:szCs w:val="18"/>
              </w:rPr>
            </w:pPr>
            <w:r>
              <w:rPr>
                <w:rFonts w:ascii="仿宋" w:hAnsi="仿宋" w:eastAsia="仿宋"/>
                <w:sz w:val="18"/>
                <w:szCs w:val="18"/>
              </w:rPr>
              <w:t>配置数据源所属部门、科室、数据源类型、业务系统、系统厂商等信息时，要求能够与元数据进行联动，支持自动通过下拉框的形式进行相关信息的选择即可完成配置，而无需手工输出，确保元数据的唯一性和准确性；添加数据源时，支持进行最大连接数、最小连接数、链接超时时间、最大回收时间、校验时间、空闲超时时间的按需配置；为提高元数据的采集效率，支持对数据源中的数据进行元数据采集任务的一键配置</w:t>
            </w:r>
            <w:r>
              <w:rPr>
                <w:rFonts w:hint="eastAsia" w:ascii="仿宋" w:hAnsi="仿宋" w:eastAsia="仿宋"/>
                <w:sz w:val="18"/>
                <w:szCs w:val="18"/>
              </w:rPr>
              <w:t>。</w:t>
            </w:r>
          </w:p>
          <w:p w14:paraId="675233F4">
            <w:pPr>
              <w:widowControl/>
              <w:tabs>
                <w:tab w:val="left" w:pos="312"/>
              </w:tabs>
              <w:wordWrap w:val="0"/>
              <w:spacing w:line="240" w:lineRule="auto"/>
              <w:ind w:firstLine="360" w:firstLineChars="200"/>
              <w:jc w:val="left"/>
              <w:rPr>
                <w:rFonts w:ascii="宋体" w:hAnsi="宋体" w:cs="宋体"/>
                <w:b/>
                <w:bCs/>
                <w:kern w:val="0"/>
                <w:sz w:val="18"/>
                <w:szCs w:val="18"/>
              </w:rPr>
            </w:pPr>
            <w:r>
              <w:rPr>
                <w:rFonts w:hint="eastAsia" w:ascii="仿宋" w:hAnsi="仿宋" w:eastAsia="仿宋"/>
                <w:sz w:val="18"/>
                <w:szCs w:val="18"/>
              </w:rPr>
              <w:t>为满足国产化和信创要求，数据管理平台软件需适配至少2种国产处理器、国产服务器操作系统，要求提供兼容性认证证书。数据管理平台软件需适配至少三种主流国产数据库。</w:t>
            </w:r>
          </w:p>
          <w:p w14:paraId="3009921A">
            <w:pPr>
              <w:spacing w:line="240" w:lineRule="auto"/>
              <w:ind w:firstLine="360" w:firstLineChars="200"/>
              <w:rPr>
                <w:rFonts w:ascii="仿宋" w:hAnsi="仿宋" w:eastAsia="仿宋"/>
                <w:sz w:val="18"/>
                <w:szCs w:val="18"/>
              </w:rPr>
            </w:pPr>
            <w:r>
              <w:rPr>
                <w:rFonts w:ascii="仿宋" w:hAnsi="仿宋" w:eastAsia="仿宋"/>
                <w:sz w:val="18"/>
                <w:szCs w:val="18"/>
              </w:rPr>
              <w:t>支持按照数据源连接名、数据库类别、数据源类别等对数据源进行筛选查询；支持</w:t>
            </w:r>
            <w:r>
              <w:rPr>
                <w:rFonts w:hint="eastAsia" w:ascii="仿宋" w:hAnsi="仿宋" w:eastAsia="仿宋"/>
                <w:sz w:val="18"/>
                <w:szCs w:val="18"/>
              </w:rPr>
              <w:t>选择</w:t>
            </w:r>
            <w:r>
              <w:rPr>
                <w:rFonts w:ascii="仿宋" w:hAnsi="仿宋" w:eastAsia="仿宋"/>
                <w:sz w:val="18"/>
                <w:szCs w:val="18"/>
              </w:rPr>
              <w:t>任一数据源查看详情，包括数据源添加的配置详情及该数据源下包含的数据表信息，支持按照表名称、数据标准、对象类型和所属部门进行数据表的筛选查看，选择某张表后支持进一步查看数据表详情和数据详情；</w:t>
            </w:r>
          </w:p>
          <w:p w14:paraId="63C45785">
            <w:pPr>
              <w:spacing w:line="240" w:lineRule="auto"/>
              <w:ind w:firstLine="360" w:firstLineChars="200"/>
              <w:rPr>
                <w:rFonts w:ascii="仿宋" w:hAnsi="仿宋" w:eastAsia="仿宋"/>
                <w:sz w:val="18"/>
                <w:szCs w:val="18"/>
              </w:rPr>
            </w:pPr>
            <w:r>
              <w:rPr>
                <w:rFonts w:ascii="仿宋" w:hAnsi="仿宋" w:eastAsia="仿宋"/>
                <w:sz w:val="18"/>
                <w:szCs w:val="18"/>
              </w:rPr>
              <w:t>支持对各类</w:t>
            </w:r>
            <w:r>
              <w:rPr>
                <w:rFonts w:hint="eastAsia" w:ascii="仿宋" w:hAnsi="仿宋" w:eastAsia="仿宋"/>
                <w:sz w:val="18"/>
                <w:szCs w:val="18"/>
              </w:rPr>
              <w:t>用于接收数据的</w:t>
            </w:r>
            <w:r>
              <w:rPr>
                <w:rFonts w:ascii="仿宋" w:hAnsi="仿宋" w:eastAsia="仿宋"/>
                <w:sz w:val="18"/>
                <w:szCs w:val="18"/>
              </w:rPr>
              <w:t>中间库进行统一的管理和配置</w:t>
            </w:r>
            <w:r>
              <w:rPr>
                <w:rFonts w:hint="eastAsia" w:ascii="仿宋" w:hAnsi="仿宋" w:eastAsia="仿宋"/>
                <w:sz w:val="18"/>
                <w:szCs w:val="18"/>
              </w:rPr>
              <w:t>，并可查看</w:t>
            </w:r>
            <w:r>
              <w:rPr>
                <w:rFonts w:ascii="仿宋" w:hAnsi="仿宋" w:eastAsia="仿宋"/>
                <w:sz w:val="18"/>
                <w:szCs w:val="18"/>
              </w:rPr>
              <w:t>详情</w:t>
            </w:r>
            <w:r>
              <w:rPr>
                <w:rFonts w:hint="eastAsia" w:ascii="仿宋" w:hAnsi="仿宋" w:eastAsia="仿宋"/>
                <w:sz w:val="18"/>
                <w:szCs w:val="18"/>
              </w:rPr>
              <w:t>、测试</w:t>
            </w:r>
            <w:r>
              <w:rPr>
                <w:rFonts w:ascii="仿宋" w:hAnsi="仿宋" w:eastAsia="仿宋"/>
                <w:sz w:val="18"/>
                <w:szCs w:val="18"/>
              </w:rPr>
              <w:t>连接状态</w:t>
            </w:r>
            <w:r>
              <w:rPr>
                <w:rFonts w:hint="eastAsia" w:ascii="仿宋" w:hAnsi="仿宋" w:eastAsia="仿宋"/>
                <w:sz w:val="18"/>
                <w:szCs w:val="18"/>
              </w:rPr>
              <w:t>；可</w:t>
            </w:r>
            <w:r>
              <w:rPr>
                <w:rFonts w:ascii="仿宋" w:hAnsi="仿宋" w:eastAsia="仿宋"/>
                <w:sz w:val="18"/>
                <w:szCs w:val="18"/>
              </w:rPr>
              <w:t>查看数据申请者创建的中间库的数据源连接名、数据源类型、所属部门、所属科室、已被申请的ETL接口数</w:t>
            </w:r>
            <w:r>
              <w:rPr>
                <w:rFonts w:hint="eastAsia" w:ascii="仿宋" w:hAnsi="仿宋" w:eastAsia="仿宋"/>
                <w:sz w:val="18"/>
                <w:szCs w:val="18"/>
              </w:rPr>
              <w:t>。</w:t>
            </w:r>
          </w:p>
          <w:p w14:paraId="5C84748C">
            <w:pPr>
              <w:spacing w:line="240" w:lineRule="auto"/>
              <w:ind w:firstLine="360" w:firstLineChars="200"/>
              <w:rPr>
                <w:rFonts w:ascii="仿宋" w:hAnsi="仿宋" w:eastAsia="仿宋"/>
                <w:sz w:val="18"/>
                <w:szCs w:val="18"/>
              </w:rPr>
            </w:pPr>
            <w:r>
              <w:rPr>
                <w:rFonts w:ascii="仿宋" w:hAnsi="仿宋" w:eastAsia="仿宋"/>
                <w:sz w:val="18"/>
                <w:szCs w:val="18"/>
              </w:rPr>
              <w:t>支持对数据源执行停/启用操作，数据源停用后将不再提供数据支撑。即其他关联模块相应数据立刻暂停服务。如学校的业务系统停用后，数据资源将不再为数据中心更新数据，投标文件中须提供对应功能的产品截图。</w:t>
            </w:r>
          </w:p>
          <w:p w14:paraId="21EE8C5C">
            <w:pPr>
              <w:widowControl/>
              <w:tabs>
                <w:tab w:val="left" w:pos="312"/>
              </w:tabs>
              <w:wordWrap w:val="0"/>
              <w:spacing w:line="240" w:lineRule="auto"/>
              <w:ind w:firstLine="360" w:firstLineChars="200"/>
              <w:jc w:val="left"/>
              <w:rPr>
                <w:rFonts w:ascii="仿宋" w:hAnsi="仿宋" w:eastAsia="仿宋"/>
                <w:sz w:val="18"/>
                <w:szCs w:val="18"/>
              </w:rPr>
            </w:pPr>
            <w:r>
              <w:rPr>
                <w:rFonts w:ascii="仿宋" w:hAnsi="仿宋" w:eastAsia="仿宋"/>
                <w:sz w:val="18"/>
                <w:szCs w:val="18"/>
              </w:rPr>
              <w:t>支持批量导入、导出数据表的数据字典，支持通过导入数据字典填充数据表的注释、字段的注释。</w:t>
            </w:r>
          </w:p>
          <w:p w14:paraId="4CF8DDAF">
            <w:pPr>
              <w:spacing w:line="240" w:lineRule="auto"/>
              <w:ind w:firstLine="360" w:firstLineChars="200"/>
              <w:rPr>
                <w:rFonts w:ascii="仿宋" w:hAnsi="仿宋" w:eastAsia="仿宋"/>
                <w:sz w:val="18"/>
                <w:szCs w:val="18"/>
              </w:rPr>
            </w:pPr>
            <w:r>
              <w:rPr>
                <w:rFonts w:ascii="仿宋" w:hAnsi="仿宋" w:eastAsia="仿宋"/>
                <w:sz w:val="18"/>
                <w:szCs w:val="18"/>
              </w:rPr>
              <w:t>为了便于数据中心管理员进行数据资产的灵活管理，要求提供数据</w:t>
            </w:r>
            <w:r>
              <w:rPr>
                <w:rFonts w:hint="eastAsia" w:ascii="仿宋" w:hAnsi="仿宋" w:eastAsia="仿宋"/>
                <w:sz w:val="18"/>
                <w:szCs w:val="18"/>
              </w:rPr>
              <w:t>询</w:t>
            </w:r>
            <w:r>
              <w:rPr>
                <w:rFonts w:ascii="仿宋" w:hAnsi="仿宋" w:eastAsia="仿宋"/>
                <w:sz w:val="18"/>
                <w:szCs w:val="18"/>
              </w:rPr>
              <w:t>功能，让</w:t>
            </w:r>
            <w:r>
              <w:rPr>
                <w:rFonts w:hint="eastAsia" w:ascii="仿宋" w:hAnsi="仿宋" w:eastAsia="仿宋"/>
                <w:sz w:val="18"/>
                <w:szCs w:val="18"/>
              </w:rPr>
              <w:t>管理员</w:t>
            </w:r>
            <w:r>
              <w:rPr>
                <w:rFonts w:ascii="仿宋" w:hAnsi="仿宋" w:eastAsia="仿宋"/>
                <w:sz w:val="18"/>
                <w:szCs w:val="18"/>
              </w:rPr>
              <w:t>能够</w:t>
            </w:r>
            <w:r>
              <w:rPr>
                <w:rFonts w:hint="eastAsia" w:ascii="仿宋" w:hAnsi="仿宋" w:eastAsia="仿宋"/>
                <w:sz w:val="18"/>
                <w:szCs w:val="18"/>
              </w:rPr>
              <w:t>对各类</w:t>
            </w:r>
            <w:r>
              <w:rPr>
                <w:rFonts w:ascii="仿宋" w:hAnsi="仿宋" w:eastAsia="仿宋"/>
                <w:sz w:val="18"/>
                <w:szCs w:val="18"/>
              </w:rPr>
              <w:t>数据源中的数据</w:t>
            </w:r>
            <w:r>
              <w:rPr>
                <w:rFonts w:hint="eastAsia" w:ascii="仿宋" w:hAnsi="仿宋" w:eastAsia="仿宋"/>
                <w:sz w:val="18"/>
                <w:szCs w:val="18"/>
              </w:rPr>
              <w:t>详情</w:t>
            </w:r>
            <w:r>
              <w:rPr>
                <w:rFonts w:ascii="仿宋" w:hAnsi="仿宋" w:eastAsia="仿宋"/>
                <w:sz w:val="18"/>
                <w:szCs w:val="18"/>
              </w:rPr>
              <w:t>进行按需检索和</w:t>
            </w:r>
            <w:r>
              <w:rPr>
                <w:rFonts w:hint="eastAsia" w:ascii="仿宋" w:hAnsi="仿宋" w:eastAsia="仿宋"/>
                <w:sz w:val="18"/>
                <w:szCs w:val="18"/>
              </w:rPr>
              <w:t>查询。</w:t>
            </w:r>
          </w:p>
          <w:p w14:paraId="437374CA">
            <w:pPr>
              <w:spacing w:line="240" w:lineRule="auto"/>
              <w:ind w:firstLine="360" w:firstLineChars="200"/>
              <w:rPr>
                <w:rFonts w:ascii="仿宋" w:hAnsi="仿宋" w:eastAsia="仿宋"/>
                <w:sz w:val="18"/>
                <w:szCs w:val="18"/>
              </w:rPr>
            </w:pPr>
            <w:r>
              <w:rPr>
                <w:rFonts w:ascii="仿宋" w:hAnsi="仿宋" w:eastAsia="仿宋"/>
                <w:sz w:val="18"/>
                <w:szCs w:val="18"/>
              </w:rPr>
              <w:t>支持通过数据源类型、数据库连接名、schema的信息进行数据源的筛选，筛选后支持根据中文注释和表名称对数据表进行查询，检索结果支持导出为Excel或进行全屏查看；</w:t>
            </w:r>
          </w:p>
          <w:p w14:paraId="66F7CEB7">
            <w:pPr>
              <w:spacing w:line="240" w:lineRule="auto"/>
              <w:ind w:firstLine="360" w:firstLineChars="200"/>
              <w:rPr>
                <w:rFonts w:ascii="仿宋" w:hAnsi="仿宋" w:eastAsia="仿宋"/>
                <w:sz w:val="18"/>
                <w:szCs w:val="18"/>
              </w:rPr>
            </w:pPr>
            <w:r>
              <w:rPr>
                <w:rFonts w:ascii="仿宋" w:hAnsi="仿宋" w:eastAsia="仿宋"/>
                <w:sz w:val="18"/>
                <w:szCs w:val="18"/>
              </w:rPr>
              <w:t>选择数据表后支持自动生成SQL查询语句进行数据详情的查看，也需支持用户通过自定义SQL语句进行查询，支持对查询到的数据详情进行更详细的高级检索，支持按照字段名称、筛选条件和值进行检索，</w:t>
            </w:r>
          </w:p>
          <w:p w14:paraId="6F3D75E1">
            <w:pPr>
              <w:widowControl/>
              <w:tabs>
                <w:tab w:val="left" w:pos="312"/>
              </w:tabs>
              <w:wordWrap w:val="0"/>
              <w:spacing w:line="240" w:lineRule="auto"/>
              <w:ind w:firstLine="360" w:firstLineChars="200"/>
              <w:jc w:val="left"/>
              <w:rPr>
                <w:rFonts w:ascii="仿宋" w:hAnsi="仿宋" w:eastAsia="仿宋"/>
                <w:sz w:val="18"/>
                <w:szCs w:val="18"/>
              </w:rPr>
            </w:pPr>
            <w:r>
              <w:rPr>
                <w:rFonts w:ascii="仿宋" w:hAnsi="仿宋" w:eastAsia="仿宋"/>
                <w:sz w:val="18"/>
                <w:szCs w:val="18"/>
              </w:rPr>
              <w:t>支持对非关系型数据库和Hadoop平台的各类数据源进行查看，支持查看的数据源类型包括但不限于Hive、kafka、MogoDB、HDFS等，支持查看的内容如HDFS的文件情况；Kafka数据库的Topic等</w:t>
            </w:r>
            <w:r>
              <w:rPr>
                <w:rFonts w:hint="eastAsia" w:ascii="仿宋" w:hAnsi="仿宋" w:eastAsia="仿宋"/>
                <w:sz w:val="18"/>
                <w:szCs w:val="18"/>
              </w:rPr>
              <w:t>。</w:t>
            </w:r>
          </w:p>
          <w:p w14:paraId="455AFF1A">
            <w:pPr>
              <w:widowControl/>
              <w:tabs>
                <w:tab w:val="left" w:pos="312"/>
              </w:tabs>
              <w:wordWrap w:val="0"/>
              <w:spacing w:line="240" w:lineRule="auto"/>
              <w:jc w:val="left"/>
              <w:rPr>
                <w:rFonts w:ascii="仿宋" w:hAnsi="仿宋" w:eastAsia="仿宋"/>
                <w:b/>
                <w:sz w:val="18"/>
                <w:szCs w:val="18"/>
              </w:rPr>
            </w:pPr>
            <w:r>
              <w:rPr>
                <w:rFonts w:hint="eastAsia" w:ascii="仿宋" w:hAnsi="仿宋" w:eastAsia="仿宋"/>
                <w:b/>
                <w:sz w:val="18"/>
                <w:szCs w:val="18"/>
              </w:rPr>
              <w:t>1.5数据集成报告</w:t>
            </w:r>
          </w:p>
          <w:p w14:paraId="1A709D42">
            <w:pPr>
              <w:widowControl/>
              <w:tabs>
                <w:tab w:val="left" w:pos="312"/>
              </w:tabs>
              <w:wordWrap w:val="0"/>
              <w:spacing w:line="240" w:lineRule="auto"/>
              <w:ind w:firstLine="360" w:firstLineChars="200"/>
              <w:jc w:val="left"/>
              <w:rPr>
                <w:rFonts w:ascii="仿宋" w:hAnsi="仿宋" w:eastAsia="仿宋"/>
                <w:sz w:val="18"/>
                <w:szCs w:val="18"/>
              </w:rPr>
            </w:pPr>
            <w:r>
              <w:rPr>
                <w:rFonts w:ascii="仿宋" w:hAnsi="仿宋" w:eastAsia="仿宋"/>
                <w:sz w:val="18"/>
                <w:szCs w:val="18"/>
              </w:rPr>
              <w:t>为便于管理人员快速掌握数据集成的整体运行情况，可通过数据集成报告统计运行情况，报告页面展示内容至少有：</w:t>
            </w:r>
            <w:r>
              <w:rPr>
                <w:rFonts w:hint="eastAsia" w:ascii="仿宋" w:hAnsi="仿宋" w:eastAsia="仿宋"/>
                <w:sz w:val="18"/>
                <w:szCs w:val="18"/>
              </w:rPr>
              <w:t>A.</w:t>
            </w:r>
            <w:r>
              <w:rPr>
                <w:rFonts w:ascii="仿宋" w:hAnsi="仿宋" w:eastAsia="仿宋"/>
                <w:sz w:val="18"/>
                <w:szCs w:val="18"/>
              </w:rPr>
              <w:t>ETL数据集成的整体运行情况，包括当日运行异常监测、管理端接口运行情况、数据交换量统计、调度运行情况、接口耗时排名排名、接口失败次数最多排名、数据交换趋势、数据源流量。</w:t>
            </w:r>
            <w:r>
              <w:rPr>
                <w:rFonts w:hint="eastAsia" w:ascii="仿宋" w:hAnsi="仿宋" w:eastAsia="仿宋"/>
                <w:sz w:val="18"/>
                <w:szCs w:val="18"/>
              </w:rPr>
              <w:t>B.线下数据集成的整体运行情况，包括：离线数据采集情况、数据采集量、导入数据量排名</w:t>
            </w:r>
            <w:r>
              <w:rPr>
                <w:rFonts w:ascii="仿宋" w:hAnsi="仿宋" w:eastAsia="仿宋"/>
                <w:sz w:val="18"/>
                <w:szCs w:val="18"/>
              </w:rPr>
              <w:t>排名、手工填报量排名排名、部门数据表填报量统计、填报数据量趋势。</w:t>
            </w:r>
          </w:p>
        </w:tc>
      </w:tr>
      <w:tr w14:paraId="7431DC9A">
        <w:tblPrEx>
          <w:tblCellMar>
            <w:top w:w="0" w:type="dxa"/>
            <w:left w:w="108" w:type="dxa"/>
            <w:bottom w:w="0" w:type="dxa"/>
            <w:right w:w="108" w:type="dxa"/>
          </w:tblCellMar>
        </w:tblPrEx>
        <w:trPr>
          <w:trHeight w:val="121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7C637">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1046" w:type="dxa"/>
            <w:tcBorders>
              <w:top w:val="single" w:color="000000" w:sz="4" w:space="0"/>
              <w:left w:val="single" w:color="000000" w:sz="4" w:space="0"/>
              <w:bottom w:val="single" w:color="000000" w:sz="4" w:space="0"/>
              <w:right w:val="single" w:color="000000" w:sz="4" w:space="0"/>
            </w:tcBorders>
            <w:vAlign w:val="center"/>
          </w:tcPr>
          <w:p w14:paraId="6CF4F878">
            <w:pPr>
              <w:widowControl/>
              <w:jc w:val="center"/>
              <w:rPr>
                <w:rFonts w:ascii="宋体" w:hAnsi="宋体" w:cs="宋体"/>
                <w:b/>
                <w:bCs/>
                <w:kern w:val="0"/>
                <w:sz w:val="18"/>
                <w:szCs w:val="18"/>
              </w:rPr>
            </w:pPr>
            <w:r>
              <w:rPr>
                <w:rFonts w:hint="eastAsia" w:ascii="宋体" w:hAnsi="宋体" w:cs="宋体"/>
                <w:b/>
                <w:bCs/>
                <w:kern w:val="0"/>
                <w:sz w:val="18"/>
                <w:szCs w:val="18"/>
              </w:rPr>
              <w:t>数据管理</w:t>
            </w:r>
          </w:p>
        </w:tc>
        <w:tc>
          <w:tcPr>
            <w:tcW w:w="6327" w:type="dxa"/>
            <w:tcBorders>
              <w:top w:val="single" w:color="000000" w:sz="4" w:space="0"/>
              <w:left w:val="single" w:color="000000" w:sz="4" w:space="0"/>
              <w:bottom w:val="single" w:color="000000" w:sz="4" w:space="0"/>
              <w:right w:val="single" w:color="000000" w:sz="4" w:space="0"/>
            </w:tcBorders>
            <w:vAlign w:val="center"/>
          </w:tcPr>
          <w:p w14:paraId="7E485C7D">
            <w:pPr>
              <w:spacing w:line="240" w:lineRule="auto"/>
              <w:rPr>
                <w:rFonts w:ascii="仿宋" w:hAnsi="仿宋" w:eastAsia="仿宋"/>
                <w:b/>
                <w:sz w:val="18"/>
                <w:szCs w:val="18"/>
              </w:rPr>
            </w:pPr>
            <w:r>
              <w:rPr>
                <w:rFonts w:hint="eastAsia" w:ascii="仿宋" w:hAnsi="仿宋" w:eastAsia="仿宋"/>
                <w:b/>
                <w:sz w:val="18"/>
                <w:szCs w:val="18"/>
              </w:rPr>
              <w:t>2.1元数据管理</w:t>
            </w:r>
          </w:p>
          <w:p w14:paraId="6F6D0B76">
            <w:pPr>
              <w:spacing w:line="240" w:lineRule="auto"/>
              <w:ind w:firstLine="360" w:firstLineChars="200"/>
              <w:rPr>
                <w:rFonts w:ascii="仿宋" w:hAnsi="仿宋" w:eastAsia="仿宋"/>
                <w:sz w:val="18"/>
                <w:szCs w:val="18"/>
              </w:rPr>
            </w:pPr>
            <w:r>
              <w:rPr>
                <w:rFonts w:ascii="仿宋" w:hAnsi="仿宋" w:eastAsia="仿宋"/>
                <w:sz w:val="18"/>
                <w:szCs w:val="18"/>
              </w:rPr>
              <w:t>支持查看数据表、视图、存储过程、函数等多种</w:t>
            </w:r>
            <w:r>
              <w:rPr>
                <w:rFonts w:hint="eastAsia" w:ascii="仿宋" w:hAnsi="仿宋" w:eastAsia="仿宋"/>
                <w:sz w:val="18"/>
                <w:szCs w:val="18"/>
              </w:rPr>
              <w:t>资源对象</w:t>
            </w:r>
            <w:r>
              <w:rPr>
                <w:rFonts w:ascii="仿宋" w:hAnsi="仿宋" w:eastAsia="仿宋"/>
                <w:sz w:val="18"/>
                <w:szCs w:val="18"/>
              </w:rPr>
              <w:t>。支持对</w:t>
            </w:r>
            <w:r>
              <w:rPr>
                <w:rFonts w:hint="eastAsia" w:ascii="仿宋" w:hAnsi="仿宋" w:eastAsia="仿宋"/>
                <w:sz w:val="18"/>
                <w:szCs w:val="18"/>
              </w:rPr>
              <w:t>表结构的变化自动生成</w:t>
            </w:r>
            <w:r>
              <w:rPr>
                <w:rFonts w:ascii="仿宋" w:hAnsi="仿宋" w:eastAsia="仿宋"/>
                <w:sz w:val="18"/>
                <w:szCs w:val="18"/>
              </w:rPr>
              <w:t>历史版本</w:t>
            </w:r>
            <w:r>
              <w:rPr>
                <w:rFonts w:hint="eastAsia" w:ascii="仿宋" w:hAnsi="仿宋" w:eastAsia="仿宋"/>
                <w:sz w:val="18"/>
                <w:szCs w:val="18"/>
              </w:rPr>
              <w:t>，支持</w:t>
            </w:r>
            <w:r>
              <w:rPr>
                <w:rFonts w:ascii="仿宋" w:hAnsi="仿宋" w:eastAsia="仿宋"/>
                <w:sz w:val="18"/>
                <w:szCs w:val="18"/>
              </w:rPr>
              <w:t>比对查看差异。要求可</w:t>
            </w:r>
            <w:r>
              <w:rPr>
                <w:rFonts w:hint="eastAsia" w:ascii="仿宋" w:hAnsi="仿宋" w:eastAsia="仿宋"/>
                <w:sz w:val="18"/>
                <w:szCs w:val="18"/>
              </w:rPr>
              <w:t>对数据对象的来源</w:t>
            </w:r>
            <w:r>
              <w:rPr>
                <w:rFonts w:ascii="仿宋" w:hAnsi="仿宋" w:eastAsia="仿宋"/>
                <w:sz w:val="18"/>
                <w:szCs w:val="18"/>
              </w:rPr>
              <w:t>系统、</w:t>
            </w:r>
            <w:r>
              <w:rPr>
                <w:rFonts w:hint="eastAsia" w:ascii="仿宋" w:hAnsi="仿宋" w:eastAsia="仿宋"/>
                <w:sz w:val="18"/>
                <w:szCs w:val="18"/>
              </w:rPr>
              <w:t>来源</w:t>
            </w:r>
            <w:r>
              <w:rPr>
                <w:rFonts w:ascii="仿宋" w:hAnsi="仿宋" w:eastAsia="仿宋"/>
                <w:sz w:val="18"/>
                <w:szCs w:val="18"/>
              </w:rPr>
              <w:t>部门等</w:t>
            </w:r>
            <w:r>
              <w:rPr>
                <w:rFonts w:hint="eastAsia" w:ascii="仿宋" w:hAnsi="仿宋" w:eastAsia="仿宋"/>
                <w:sz w:val="18"/>
                <w:szCs w:val="18"/>
              </w:rPr>
              <w:t>属性进行手工设置</w:t>
            </w:r>
            <w:r>
              <w:rPr>
                <w:rFonts w:ascii="仿宋" w:hAnsi="仿宋" w:eastAsia="仿宋"/>
                <w:sz w:val="18"/>
                <w:szCs w:val="18"/>
              </w:rPr>
              <w:t>，可将一张表</w:t>
            </w:r>
            <w:r>
              <w:rPr>
                <w:rFonts w:hint="eastAsia" w:ascii="仿宋" w:hAnsi="仿宋" w:eastAsia="仿宋"/>
                <w:sz w:val="18"/>
                <w:szCs w:val="18"/>
              </w:rPr>
              <w:t>整体归属到同</w:t>
            </w:r>
            <w:r>
              <w:rPr>
                <w:rFonts w:ascii="仿宋" w:hAnsi="仿宋" w:eastAsia="仿宋"/>
                <w:sz w:val="18"/>
                <w:szCs w:val="18"/>
              </w:rPr>
              <w:t>一个部门</w:t>
            </w:r>
            <w:r>
              <w:rPr>
                <w:rFonts w:hint="eastAsia" w:ascii="仿宋" w:hAnsi="仿宋" w:eastAsia="仿宋"/>
                <w:sz w:val="18"/>
                <w:szCs w:val="18"/>
              </w:rPr>
              <w:t>，</w:t>
            </w:r>
            <w:r>
              <w:rPr>
                <w:rFonts w:ascii="仿宋" w:hAnsi="仿宋" w:eastAsia="仿宋"/>
                <w:sz w:val="18"/>
                <w:szCs w:val="18"/>
              </w:rPr>
              <w:t>也</w:t>
            </w:r>
            <w:r>
              <w:rPr>
                <w:rFonts w:hint="eastAsia" w:ascii="仿宋" w:hAnsi="仿宋" w:eastAsia="仿宋"/>
                <w:sz w:val="18"/>
                <w:szCs w:val="18"/>
              </w:rPr>
              <w:t>支持</w:t>
            </w:r>
            <w:r>
              <w:rPr>
                <w:rFonts w:ascii="仿宋" w:hAnsi="仿宋" w:eastAsia="仿宋"/>
                <w:sz w:val="18"/>
                <w:szCs w:val="18"/>
              </w:rPr>
              <w:t>将一张表的不同字段</w:t>
            </w:r>
            <w:r>
              <w:rPr>
                <w:rFonts w:hint="eastAsia" w:ascii="仿宋" w:hAnsi="仿宋" w:eastAsia="仿宋"/>
                <w:sz w:val="18"/>
                <w:szCs w:val="18"/>
              </w:rPr>
              <w:t>分属</w:t>
            </w:r>
            <w:r>
              <w:rPr>
                <w:rFonts w:ascii="仿宋" w:hAnsi="仿宋" w:eastAsia="仿宋"/>
                <w:sz w:val="18"/>
                <w:szCs w:val="18"/>
              </w:rPr>
              <w:t>到不同部门，实现字段级的权威数据源登记。</w:t>
            </w:r>
          </w:p>
          <w:p w14:paraId="236E9F7F">
            <w:pPr>
              <w:spacing w:line="240" w:lineRule="auto"/>
              <w:ind w:firstLine="360" w:firstLineChars="200"/>
              <w:rPr>
                <w:rFonts w:ascii="仿宋" w:hAnsi="仿宋" w:eastAsia="仿宋"/>
                <w:sz w:val="18"/>
                <w:szCs w:val="18"/>
              </w:rPr>
            </w:pPr>
            <w:r>
              <w:rPr>
                <w:rFonts w:hint="eastAsia" w:ascii="仿宋" w:hAnsi="仿宋" w:eastAsia="仿宋"/>
                <w:sz w:val="18"/>
                <w:szCs w:val="18"/>
              </w:rPr>
              <w:t>可自动构建生成整个数据仓库的全局数据流向图，以呈现整个数据仓库的数据上行、下行流动信息。流向图中，应可呈现从每个部门、每个业务系统采集到数据仓库的数据量、数据内容和接口方式，以及数据仓库向每个部门、每个业务系统提供数据服务的数据量、数据内容和接口方式，流向图中，可以对从各部门、各业务系统采集的数据内容进行下钻显示详情，包括每个采集接口的运行状态、源库/表、目标库/表、最近执行时间、最后一次数据变化量等信息，并可以直接定位到每个ETL接口的管理界面。可以对数据服务的内容进行下钻显示详情，包括每个服务接口的运行状态、数据清单名称、源库/表、目标库/表、最后执行时间、最后一次数据变化量等信息，并可以直接定位到该数据清单或ETL接口的管理界面。</w:t>
            </w:r>
          </w:p>
          <w:p w14:paraId="7137E3FD">
            <w:pPr>
              <w:spacing w:line="240" w:lineRule="auto"/>
              <w:ind w:firstLine="360" w:firstLineChars="200"/>
              <w:rPr>
                <w:rFonts w:ascii="仿宋" w:hAnsi="仿宋" w:eastAsia="仿宋"/>
                <w:sz w:val="18"/>
                <w:szCs w:val="18"/>
              </w:rPr>
            </w:pPr>
            <w:r>
              <w:rPr>
                <w:rFonts w:hint="eastAsia" w:ascii="仿宋" w:hAnsi="仿宋" w:eastAsia="仿宋"/>
                <w:sz w:val="18"/>
                <w:szCs w:val="18"/>
              </w:rPr>
              <w:t>可自动构建生成单个数据对象的微观数据链路图，自动分析并显示数据对象的来源部门、来源系统级、来源表、来源字段，下游服务的各项应用，每个应用的名称、所属部门、调用的字段范围。要求在所有节点上提供字段名称检索框以便快速定位到特定字段，需支持模糊匹配。提供数据明细内容的预览和查询入口。可进一步检索每个字段在全链路上各个节点处的具体取值，以便查看指定的字段取值是否存在异常变化或数据丢失。</w:t>
            </w:r>
          </w:p>
          <w:p w14:paraId="2E89E308">
            <w:pPr>
              <w:spacing w:line="240" w:lineRule="auto"/>
              <w:ind w:firstLine="360" w:firstLineChars="200"/>
              <w:rPr>
                <w:rFonts w:ascii="仿宋" w:hAnsi="仿宋" w:eastAsia="仿宋"/>
                <w:sz w:val="18"/>
                <w:szCs w:val="18"/>
              </w:rPr>
            </w:pPr>
            <w:r>
              <w:rPr>
                <w:rFonts w:hint="eastAsia" w:ascii="仿宋" w:hAnsi="仿宋" w:eastAsia="仿宋"/>
                <w:sz w:val="18"/>
                <w:szCs w:val="18"/>
              </w:rPr>
              <w:t>支持</w:t>
            </w:r>
            <w:r>
              <w:rPr>
                <w:rFonts w:ascii="仿宋" w:hAnsi="仿宋" w:eastAsia="仿宋"/>
                <w:sz w:val="18"/>
                <w:szCs w:val="18"/>
              </w:rPr>
              <w:t>对系统内需要使用的厂商名称、业务系统名称、业务部门的信息</w:t>
            </w:r>
            <w:r>
              <w:rPr>
                <w:rFonts w:hint="eastAsia" w:ascii="仿宋" w:hAnsi="仿宋" w:eastAsia="仿宋"/>
                <w:sz w:val="18"/>
                <w:szCs w:val="18"/>
              </w:rPr>
              <w:t>进行管理，</w:t>
            </w:r>
            <w:r>
              <w:rPr>
                <w:rFonts w:ascii="仿宋" w:hAnsi="仿宋" w:eastAsia="仿宋"/>
                <w:sz w:val="18"/>
                <w:szCs w:val="18"/>
              </w:rPr>
              <w:t>支持新增/编辑/查看/删除/批量导入操作</w:t>
            </w:r>
            <w:r>
              <w:rPr>
                <w:rFonts w:hint="eastAsia" w:ascii="仿宋" w:hAnsi="仿宋" w:eastAsia="仿宋"/>
                <w:sz w:val="18"/>
                <w:szCs w:val="18"/>
              </w:rPr>
              <w:t>，并根据数据的实际采集来源，将这些信息自动关联到数据资源上，用来标定数据的来源系统、来源部门。</w:t>
            </w:r>
          </w:p>
          <w:p w14:paraId="1CE3511F">
            <w:pPr>
              <w:spacing w:line="240" w:lineRule="auto"/>
              <w:ind w:firstLine="360" w:firstLineChars="200"/>
              <w:rPr>
                <w:rFonts w:ascii="仿宋" w:hAnsi="仿宋" w:eastAsia="仿宋"/>
                <w:sz w:val="18"/>
                <w:szCs w:val="18"/>
              </w:rPr>
            </w:pPr>
            <w:r>
              <w:rPr>
                <w:rFonts w:ascii="仿宋" w:hAnsi="仿宋" w:eastAsia="仿宋"/>
                <w:sz w:val="18"/>
                <w:szCs w:val="18"/>
              </w:rPr>
              <w:t>支持将数据治理服务过程中产生的所有过程性及结果性文档进行线上化管理，同时支持将配套的数据管理制度进行线上化管理</w:t>
            </w:r>
            <w:r>
              <w:rPr>
                <w:rFonts w:hint="eastAsia" w:ascii="仿宋" w:hAnsi="仿宋" w:eastAsia="仿宋"/>
                <w:sz w:val="18"/>
                <w:szCs w:val="18"/>
              </w:rPr>
              <w:t>。</w:t>
            </w:r>
            <w:r>
              <w:rPr>
                <w:rFonts w:ascii="仿宋" w:hAnsi="仿宋" w:eastAsia="仿宋"/>
                <w:sz w:val="18"/>
                <w:szCs w:val="18"/>
              </w:rPr>
              <w:t>具体</w:t>
            </w:r>
            <w:r>
              <w:rPr>
                <w:rFonts w:hint="eastAsia" w:ascii="仿宋" w:hAnsi="仿宋" w:eastAsia="仿宋"/>
                <w:sz w:val="18"/>
                <w:szCs w:val="18"/>
              </w:rPr>
              <w:t>包括：A.</w:t>
            </w:r>
            <w:r>
              <w:rPr>
                <w:rFonts w:ascii="仿宋" w:hAnsi="仿宋" w:eastAsia="仿宋"/>
                <w:sz w:val="18"/>
                <w:szCs w:val="18"/>
              </w:rPr>
              <w:t>数据治理启动前期可以实现业务部门信息化接口人信息表、业务系统数据字段、数据库只读权限等文档的线上化管理，并支持对同一文档的不同版本进行线上化管理，支持文档的上传、在线预览、下载和删除。</w:t>
            </w:r>
            <w:r>
              <w:rPr>
                <w:rFonts w:hint="eastAsia" w:ascii="仿宋" w:hAnsi="仿宋" w:eastAsia="仿宋"/>
                <w:sz w:val="18"/>
                <w:szCs w:val="18"/>
              </w:rPr>
              <w:t>B.</w:t>
            </w:r>
            <w:r>
              <w:rPr>
                <w:rFonts w:ascii="仿宋" w:hAnsi="仿宋" w:eastAsia="仿宋"/>
                <w:sz w:val="18"/>
                <w:szCs w:val="18"/>
              </w:rPr>
              <w:t>调研阶段支持将调研过程性文档（数据共享交换需求、数据分析需求、数据更新频率需求、线下数据线上化管理需求等）和结果性文档（数据标准、代码标准、编码规则、数据权责等）进行线上化管理，并支持对同一文档的不同版本进行线上化管理，支持文档的上传、在线预览、下载和删除</w:t>
            </w:r>
            <w:r>
              <w:rPr>
                <w:rFonts w:hint="eastAsia" w:ascii="仿宋" w:hAnsi="仿宋" w:eastAsia="仿宋"/>
                <w:sz w:val="18"/>
                <w:szCs w:val="18"/>
              </w:rPr>
              <w:t>。C.</w:t>
            </w:r>
            <w:r>
              <w:rPr>
                <w:rFonts w:ascii="仿宋" w:hAnsi="仿宋" w:eastAsia="仿宋"/>
                <w:sz w:val="18"/>
                <w:szCs w:val="18"/>
              </w:rPr>
              <w:t>运维阶段支持对数据管理制度、用户操作手册、开发者手册等过程性文档进行线上化管理，支持文档的上传、在线预览、下载和删除。</w:t>
            </w:r>
          </w:p>
          <w:p w14:paraId="280885FD">
            <w:pPr>
              <w:spacing w:line="240" w:lineRule="auto"/>
              <w:ind w:firstLine="360" w:firstLineChars="200"/>
              <w:rPr>
                <w:rFonts w:ascii="仿宋" w:hAnsi="仿宋" w:eastAsia="仿宋"/>
                <w:sz w:val="18"/>
                <w:szCs w:val="18"/>
              </w:rPr>
            </w:pPr>
            <w:r>
              <w:rPr>
                <w:rFonts w:ascii="仿宋" w:hAnsi="仿宋" w:eastAsia="仿宋"/>
                <w:sz w:val="18"/>
                <w:szCs w:val="18"/>
              </w:rPr>
              <w:t>可按模块根据关键字对元数据进行检索。检索结果可按技术元数据/业务元数据/管理元数据分类展示。</w:t>
            </w:r>
          </w:p>
          <w:p w14:paraId="66EBF4F2">
            <w:pPr>
              <w:spacing w:line="240" w:lineRule="auto"/>
              <w:ind w:firstLine="360" w:firstLineChars="200"/>
              <w:rPr>
                <w:rFonts w:ascii="仿宋" w:hAnsi="仿宋" w:eastAsia="仿宋"/>
                <w:sz w:val="18"/>
                <w:szCs w:val="18"/>
              </w:rPr>
            </w:pPr>
            <w:r>
              <w:rPr>
                <w:rFonts w:ascii="仿宋" w:hAnsi="仿宋" w:eastAsia="仿宋"/>
                <w:sz w:val="18"/>
                <w:szCs w:val="18"/>
              </w:rPr>
              <w:t>可配置元数据自动采集任务，支持手动执行采集任务。支持对采集任务进行自定义编辑。支持批量执行/删除元数据采集任务。可查看元数据采集的表名单。发生元数据变更时，可针对指定邮箱进行邮件预警。</w:t>
            </w:r>
          </w:p>
          <w:p w14:paraId="68FAC52A">
            <w:pPr>
              <w:spacing w:line="240" w:lineRule="auto"/>
              <w:jc w:val="left"/>
              <w:rPr>
                <w:rFonts w:ascii="仿宋" w:hAnsi="仿宋" w:eastAsia="仿宋"/>
                <w:b/>
                <w:sz w:val="18"/>
                <w:szCs w:val="18"/>
              </w:rPr>
            </w:pPr>
            <w:r>
              <w:rPr>
                <w:rFonts w:hint="eastAsia" w:ascii="仿宋" w:hAnsi="仿宋" w:eastAsia="仿宋"/>
                <w:b/>
                <w:sz w:val="18"/>
                <w:szCs w:val="18"/>
              </w:rPr>
              <w:t>2.2数据标准管理</w:t>
            </w:r>
          </w:p>
          <w:p w14:paraId="3B6AED66">
            <w:pPr>
              <w:spacing w:line="240" w:lineRule="auto"/>
              <w:ind w:firstLine="360" w:firstLineChars="200"/>
              <w:rPr>
                <w:rFonts w:ascii="仿宋" w:hAnsi="仿宋" w:eastAsia="仿宋"/>
                <w:sz w:val="18"/>
                <w:szCs w:val="18"/>
              </w:rPr>
            </w:pPr>
            <w:r>
              <w:rPr>
                <w:rFonts w:hint="eastAsia" w:ascii="仿宋" w:hAnsi="仿宋" w:eastAsia="仿宋"/>
                <w:sz w:val="18"/>
                <w:szCs w:val="18"/>
              </w:rPr>
              <w:t>可对标准数据元的集合进行在线管理。</w:t>
            </w:r>
            <w:r>
              <w:rPr>
                <w:rFonts w:ascii="仿宋" w:hAnsi="仿宋" w:eastAsia="仿宋"/>
                <w:sz w:val="18"/>
                <w:szCs w:val="18"/>
              </w:rPr>
              <w:t>支持导入、导出标准</w:t>
            </w:r>
            <w:r>
              <w:rPr>
                <w:rFonts w:hint="eastAsia" w:ascii="仿宋" w:hAnsi="仿宋" w:eastAsia="仿宋"/>
                <w:sz w:val="18"/>
                <w:szCs w:val="18"/>
              </w:rPr>
              <w:t>数据元</w:t>
            </w:r>
            <w:r>
              <w:rPr>
                <w:rFonts w:ascii="仿宋" w:hAnsi="仿宋" w:eastAsia="仿宋"/>
                <w:sz w:val="18"/>
                <w:szCs w:val="18"/>
              </w:rPr>
              <w:t>/代码集/编码规则，其中标准</w:t>
            </w:r>
            <w:r>
              <w:rPr>
                <w:rFonts w:hint="eastAsia" w:ascii="仿宋" w:hAnsi="仿宋" w:eastAsia="仿宋"/>
                <w:sz w:val="18"/>
                <w:szCs w:val="18"/>
              </w:rPr>
              <w:t>数据元应在</w:t>
            </w:r>
            <w:r>
              <w:rPr>
                <w:rFonts w:ascii="仿宋" w:hAnsi="仿宋" w:eastAsia="仿宋"/>
                <w:sz w:val="18"/>
                <w:szCs w:val="18"/>
              </w:rPr>
              <w:t>数据</w:t>
            </w:r>
            <w:r>
              <w:rPr>
                <w:rFonts w:hint="eastAsia" w:ascii="仿宋" w:hAnsi="仿宋" w:eastAsia="仿宋"/>
                <w:sz w:val="18"/>
                <w:szCs w:val="18"/>
              </w:rPr>
              <w:t>模型中强制</w:t>
            </w:r>
            <w:r>
              <w:rPr>
                <w:rFonts w:ascii="仿宋" w:hAnsi="仿宋" w:eastAsia="仿宋"/>
                <w:sz w:val="18"/>
                <w:szCs w:val="18"/>
              </w:rPr>
              <w:t>使用</w:t>
            </w:r>
            <w:r>
              <w:rPr>
                <w:rFonts w:hint="eastAsia" w:ascii="仿宋" w:hAnsi="仿宋" w:eastAsia="仿宋"/>
                <w:sz w:val="18"/>
                <w:szCs w:val="18"/>
              </w:rPr>
              <w:t>。</w:t>
            </w:r>
            <w:r>
              <w:rPr>
                <w:rFonts w:ascii="仿宋" w:hAnsi="仿宋" w:eastAsia="仿宋"/>
                <w:sz w:val="18"/>
                <w:szCs w:val="18"/>
              </w:rPr>
              <w:t>支持为数据元绑定代码表、</w:t>
            </w:r>
            <w:r>
              <w:rPr>
                <w:rFonts w:hint="eastAsia" w:ascii="仿宋" w:hAnsi="仿宋" w:eastAsia="仿宋"/>
                <w:sz w:val="18"/>
                <w:szCs w:val="18"/>
              </w:rPr>
              <w:t>质量</w:t>
            </w:r>
            <w:r>
              <w:rPr>
                <w:rFonts w:ascii="仿宋" w:hAnsi="仿宋" w:eastAsia="仿宋"/>
                <w:sz w:val="18"/>
                <w:szCs w:val="18"/>
              </w:rPr>
              <w:t>检测规则、编码规则、脱敏规则</w:t>
            </w:r>
            <w:r>
              <w:rPr>
                <w:rFonts w:hint="eastAsia" w:ascii="仿宋" w:hAnsi="仿宋" w:eastAsia="仿宋"/>
                <w:sz w:val="18"/>
                <w:szCs w:val="18"/>
              </w:rPr>
              <w:t>。绑定完成后，当某个模型引用了该数据元时，其绑定关系应自动继承到的</w:t>
            </w:r>
            <w:r>
              <w:rPr>
                <w:rFonts w:ascii="仿宋" w:hAnsi="仿宋" w:eastAsia="仿宋"/>
                <w:sz w:val="18"/>
                <w:szCs w:val="18"/>
              </w:rPr>
              <w:t>模型</w:t>
            </w:r>
            <w:r>
              <w:rPr>
                <w:rFonts w:hint="eastAsia" w:ascii="仿宋" w:hAnsi="仿宋" w:eastAsia="仿宋"/>
                <w:sz w:val="18"/>
                <w:szCs w:val="18"/>
              </w:rPr>
              <w:t>中生效</w:t>
            </w:r>
            <w:r>
              <w:rPr>
                <w:rFonts w:ascii="仿宋" w:hAnsi="仿宋" w:eastAsia="仿宋"/>
                <w:sz w:val="18"/>
                <w:szCs w:val="18"/>
              </w:rPr>
              <w:t>。</w:t>
            </w:r>
          </w:p>
          <w:p w14:paraId="5D65CE03">
            <w:pPr>
              <w:spacing w:line="240" w:lineRule="auto"/>
              <w:ind w:firstLine="360" w:firstLineChars="200"/>
              <w:rPr>
                <w:rFonts w:ascii="仿宋" w:hAnsi="仿宋" w:eastAsia="仿宋"/>
                <w:sz w:val="18"/>
                <w:szCs w:val="18"/>
              </w:rPr>
            </w:pPr>
            <w:r>
              <w:rPr>
                <w:rFonts w:hint="eastAsia" w:ascii="仿宋" w:hAnsi="仿宋" w:eastAsia="仿宋"/>
                <w:sz w:val="18"/>
                <w:szCs w:val="18"/>
              </w:rPr>
              <w:t>可生成数据元</w:t>
            </w:r>
            <w:r>
              <w:rPr>
                <w:rFonts w:ascii="仿宋" w:hAnsi="仿宋" w:eastAsia="仿宋"/>
                <w:sz w:val="18"/>
                <w:szCs w:val="18"/>
              </w:rPr>
              <w:t>的链接图谱，</w:t>
            </w:r>
            <w:r>
              <w:rPr>
                <w:rFonts w:hint="eastAsia" w:ascii="仿宋" w:hAnsi="仿宋" w:eastAsia="仿宋"/>
                <w:sz w:val="18"/>
                <w:szCs w:val="18"/>
              </w:rPr>
              <w:t>图谱中可</w:t>
            </w:r>
            <w:r>
              <w:rPr>
                <w:rFonts w:ascii="仿宋" w:hAnsi="仿宋" w:eastAsia="仿宋"/>
                <w:sz w:val="18"/>
                <w:szCs w:val="18"/>
              </w:rPr>
              <w:t>查看该</w:t>
            </w:r>
            <w:r>
              <w:rPr>
                <w:rFonts w:hint="eastAsia" w:ascii="仿宋" w:hAnsi="仿宋" w:eastAsia="仿宋"/>
                <w:sz w:val="18"/>
                <w:szCs w:val="18"/>
              </w:rPr>
              <w:t>数据元</w:t>
            </w:r>
            <w:r>
              <w:rPr>
                <w:rFonts w:ascii="仿宋" w:hAnsi="仿宋" w:eastAsia="仿宋"/>
                <w:sz w:val="18"/>
                <w:szCs w:val="18"/>
              </w:rPr>
              <w:t>的</w:t>
            </w:r>
            <w:r>
              <w:rPr>
                <w:rFonts w:hint="eastAsia" w:ascii="仿宋" w:hAnsi="仿宋" w:eastAsia="仿宋"/>
                <w:sz w:val="18"/>
                <w:szCs w:val="18"/>
              </w:rPr>
              <w:t>各项</w:t>
            </w:r>
            <w:r>
              <w:rPr>
                <w:rFonts w:ascii="仿宋" w:hAnsi="仿宋" w:eastAsia="仿宋"/>
                <w:sz w:val="18"/>
                <w:szCs w:val="18"/>
              </w:rPr>
              <w:t>属性、关联</w:t>
            </w:r>
            <w:r>
              <w:rPr>
                <w:rFonts w:hint="eastAsia" w:ascii="仿宋" w:hAnsi="仿宋" w:eastAsia="仿宋"/>
                <w:sz w:val="18"/>
                <w:szCs w:val="18"/>
              </w:rPr>
              <w:t>的</w:t>
            </w:r>
            <w:r>
              <w:rPr>
                <w:rFonts w:ascii="仿宋" w:hAnsi="仿宋" w:eastAsia="仿宋"/>
                <w:sz w:val="18"/>
                <w:szCs w:val="18"/>
              </w:rPr>
              <w:t>模型、关联</w:t>
            </w:r>
            <w:r>
              <w:rPr>
                <w:rFonts w:hint="eastAsia" w:ascii="仿宋" w:hAnsi="仿宋" w:eastAsia="仿宋"/>
                <w:sz w:val="18"/>
                <w:szCs w:val="18"/>
              </w:rPr>
              <w:t>的</w:t>
            </w:r>
            <w:r>
              <w:rPr>
                <w:rFonts w:ascii="仿宋" w:hAnsi="仿宋" w:eastAsia="仿宋"/>
                <w:sz w:val="18"/>
                <w:szCs w:val="18"/>
              </w:rPr>
              <w:t>码表、</w:t>
            </w:r>
            <w:r>
              <w:rPr>
                <w:rFonts w:hint="eastAsia" w:ascii="仿宋" w:hAnsi="仿宋" w:eastAsia="仿宋"/>
                <w:sz w:val="18"/>
                <w:szCs w:val="18"/>
              </w:rPr>
              <w:t>质量</w:t>
            </w:r>
            <w:r>
              <w:rPr>
                <w:rFonts w:ascii="仿宋" w:hAnsi="仿宋" w:eastAsia="仿宋"/>
                <w:sz w:val="18"/>
                <w:szCs w:val="18"/>
              </w:rPr>
              <w:t>检测规则、编码规则、脱敏规则。</w:t>
            </w:r>
          </w:p>
          <w:p w14:paraId="1D5C3DBB">
            <w:pPr>
              <w:spacing w:line="240" w:lineRule="auto"/>
              <w:ind w:firstLine="360" w:firstLineChars="200"/>
              <w:rPr>
                <w:rFonts w:ascii="仿宋" w:hAnsi="仿宋" w:eastAsia="仿宋"/>
                <w:sz w:val="18"/>
                <w:szCs w:val="18"/>
              </w:rPr>
            </w:pPr>
            <w:r>
              <w:rPr>
                <w:rFonts w:hint="eastAsia" w:ascii="仿宋" w:hAnsi="仿宋" w:eastAsia="仿宋"/>
                <w:sz w:val="18"/>
                <w:szCs w:val="18"/>
              </w:rPr>
              <w:t>支持对</w:t>
            </w:r>
            <w:r>
              <w:rPr>
                <w:rFonts w:ascii="仿宋" w:hAnsi="仿宋" w:eastAsia="仿宋"/>
                <w:sz w:val="18"/>
                <w:szCs w:val="18"/>
              </w:rPr>
              <w:t>数据标准进行全局检索。支持</w:t>
            </w:r>
            <w:r>
              <w:rPr>
                <w:rFonts w:hint="eastAsia" w:ascii="仿宋" w:hAnsi="仿宋" w:eastAsia="仿宋"/>
                <w:sz w:val="18"/>
                <w:szCs w:val="18"/>
              </w:rPr>
              <w:t>对</w:t>
            </w:r>
            <w:r>
              <w:rPr>
                <w:rFonts w:ascii="仿宋" w:hAnsi="仿宋" w:eastAsia="仿宋"/>
                <w:sz w:val="18"/>
                <w:szCs w:val="18"/>
              </w:rPr>
              <w:t>数据元/代码集/编码规则</w:t>
            </w:r>
            <w:r>
              <w:rPr>
                <w:rFonts w:hint="eastAsia" w:ascii="仿宋" w:hAnsi="仿宋" w:eastAsia="仿宋"/>
                <w:sz w:val="18"/>
                <w:szCs w:val="18"/>
              </w:rPr>
              <w:t>进行</w:t>
            </w:r>
            <w:r>
              <w:rPr>
                <w:rFonts w:ascii="仿宋" w:hAnsi="仿宋" w:eastAsia="仿宋"/>
                <w:sz w:val="18"/>
                <w:szCs w:val="18"/>
              </w:rPr>
              <w:t>批量上线/下线</w:t>
            </w:r>
            <w:r>
              <w:rPr>
                <w:rFonts w:hint="eastAsia" w:ascii="仿宋" w:hAnsi="仿宋" w:eastAsia="仿宋"/>
                <w:sz w:val="18"/>
                <w:szCs w:val="18"/>
              </w:rPr>
              <w:t>操作。</w:t>
            </w:r>
            <w:r>
              <w:rPr>
                <w:rFonts w:ascii="仿宋" w:hAnsi="仿宋" w:eastAsia="仿宋"/>
                <w:sz w:val="18"/>
                <w:szCs w:val="18"/>
              </w:rPr>
              <w:t>要求可对不同版本的标准进行比对及手动备份。</w:t>
            </w:r>
          </w:p>
          <w:p w14:paraId="2AFF8E8D">
            <w:pPr>
              <w:spacing w:line="240" w:lineRule="auto"/>
              <w:ind w:firstLine="360" w:firstLineChars="200"/>
              <w:rPr>
                <w:rFonts w:ascii="仿宋" w:hAnsi="仿宋" w:eastAsia="仿宋"/>
                <w:sz w:val="18"/>
                <w:szCs w:val="18"/>
              </w:rPr>
            </w:pPr>
            <w:r>
              <w:rPr>
                <w:rFonts w:hint="eastAsia" w:ascii="仿宋" w:hAnsi="仿宋" w:eastAsia="仿宋"/>
                <w:sz w:val="18"/>
                <w:szCs w:val="18"/>
              </w:rPr>
              <w:t>可</w:t>
            </w:r>
            <w:r>
              <w:rPr>
                <w:rFonts w:ascii="仿宋" w:hAnsi="仿宋" w:eastAsia="仿宋"/>
                <w:sz w:val="18"/>
                <w:szCs w:val="18"/>
              </w:rPr>
              <w:t>监控</w:t>
            </w:r>
            <w:r>
              <w:rPr>
                <w:rFonts w:hint="eastAsia" w:ascii="仿宋" w:hAnsi="仿宋" w:eastAsia="仿宋"/>
                <w:sz w:val="18"/>
                <w:szCs w:val="18"/>
              </w:rPr>
              <w:t>业务系统的数据模型与数据标准之间的</w:t>
            </w:r>
            <w:r>
              <w:rPr>
                <w:rFonts w:ascii="仿宋" w:hAnsi="仿宋" w:eastAsia="仿宋"/>
                <w:sz w:val="18"/>
                <w:szCs w:val="18"/>
              </w:rPr>
              <w:t>差异</w:t>
            </w:r>
            <w:r>
              <w:rPr>
                <w:rFonts w:hint="eastAsia" w:ascii="仿宋" w:hAnsi="仿宋" w:eastAsia="仿宋"/>
                <w:sz w:val="18"/>
                <w:szCs w:val="18"/>
              </w:rPr>
              <w:t>度</w:t>
            </w:r>
            <w:r>
              <w:rPr>
                <w:rFonts w:ascii="仿宋" w:hAnsi="仿宋" w:eastAsia="仿宋"/>
                <w:sz w:val="18"/>
                <w:szCs w:val="18"/>
              </w:rPr>
              <w:t>。</w:t>
            </w:r>
            <w:r>
              <w:rPr>
                <w:rFonts w:hint="eastAsia" w:ascii="仿宋" w:hAnsi="仿宋" w:eastAsia="仿宋"/>
                <w:sz w:val="18"/>
                <w:szCs w:val="18"/>
              </w:rPr>
              <w:t>可</w:t>
            </w:r>
            <w:r>
              <w:rPr>
                <w:rFonts w:ascii="仿宋" w:hAnsi="仿宋" w:eastAsia="仿宋"/>
                <w:sz w:val="18"/>
                <w:szCs w:val="18"/>
              </w:rPr>
              <w:t>监控数据标准被引用情况</w:t>
            </w:r>
            <w:r>
              <w:rPr>
                <w:rFonts w:hint="eastAsia" w:ascii="仿宋" w:hAnsi="仿宋" w:eastAsia="仿宋"/>
                <w:sz w:val="18"/>
                <w:szCs w:val="18"/>
              </w:rPr>
              <w:t>，</w:t>
            </w:r>
            <w:r>
              <w:rPr>
                <w:rFonts w:ascii="仿宋" w:hAnsi="仿宋" w:eastAsia="仿宋"/>
                <w:sz w:val="18"/>
                <w:szCs w:val="18"/>
              </w:rPr>
              <w:t>需支持自定义添加监控名单。支持代码标准与业务库非标准字段对比检测，并提供图形化界面在线对代码标准进行映射、维护与管理</w:t>
            </w:r>
            <w:r>
              <w:rPr>
                <w:rFonts w:hint="eastAsia" w:ascii="仿宋" w:hAnsi="仿宋" w:eastAsia="仿宋"/>
                <w:sz w:val="18"/>
                <w:szCs w:val="18"/>
              </w:rPr>
              <w:t>。</w:t>
            </w:r>
          </w:p>
          <w:p w14:paraId="6AB95C95">
            <w:pPr>
              <w:spacing w:line="240" w:lineRule="auto"/>
              <w:ind w:firstLine="360" w:firstLineChars="200"/>
              <w:rPr>
                <w:rFonts w:ascii="仿宋" w:hAnsi="仿宋" w:eastAsia="仿宋"/>
                <w:sz w:val="18"/>
                <w:szCs w:val="18"/>
              </w:rPr>
            </w:pPr>
            <w:r>
              <w:rPr>
                <w:rFonts w:ascii="仿宋" w:hAnsi="仿宋" w:eastAsia="仿宋"/>
                <w:sz w:val="18"/>
                <w:szCs w:val="18"/>
              </w:rPr>
              <w:t>支持通过数据报告页面快速查看当前数据标准模块的整体运行情况，展示内容应包括：数据标准建设概览，包括公共属性集合、代码表、编码规则分别进行统计；近三十天标准的变化趋势；标准检索热门关键词</w:t>
            </w:r>
            <w:r>
              <w:rPr>
                <w:rFonts w:hint="eastAsia" w:ascii="仿宋" w:hAnsi="仿宋" w:eastAsia="仿宋"/>
                <w:sz w:val="18"/>
                <w:szCs w:val="18"/>
              </w:rPr>
              <w:t>排名等</w:t>
            </w:r>
            <w:r>
              <w:rPr>
                <w:rFonts w:ascii="仿宋" w:hAnsi="仿宋" w:eastAsia="仿宋"/>
                <w:sz w:val="18"/>
                <w:szCs w:val="18"/>
              </w:rPr>
              <w:t>；</w:t>
            </w:r>
          </w:p>
          <w:p w14:paraId="6B49F0E0">
            <w:pPr>
              <w:spacing w:line="240" w:lineRule="auto"/>
              <w:rPr>
                <w:rFonts w:ascii="仿宋" w:hAnsi="仿宋" w:eastAsia="仿宋"/>
                <w:b/>
                <w:sz w:val="18"/>
                <w:szCs w:val="18"/>
              </w:rPr>
            </w:pPr>
            <w:r>
              <w:rPr>
                <w:rFonts w:hint="eastAsia" w:ascii="仿宋" w:hAnsi="仿宋" w:eastAsia="仿宋"/>
                <w:b/>
                <w:sz w:val="18"/>
                <w:szCs w:val="18"/>
              </w:rPr>
              <w:t>2.3数据模型管理</w:t>
            </w:r>
          </w:p>
          <w:p w14:paraId="000AF01F">
            <w:pPr>
              <w:spacing w:line="240" w:lineRule="auto"/>
              <w:ind w:firstLine="360" w:firstLineChars="200"/>
              <w:rPr>
                <w:rFonts w:ascii="仿宋" w:hAnsi="仿宋" w:eastAsia="仿宋"/>
                <w:sz w:val="18"/>
                <w:szCs w:val="18"/>
              </w:rPr>
            </w:pPr>
            <w:r>
              <w:rPr>
                <w:rFonts w:hint="eastAsia" w:ascii="仿宋" w:hAnsi="仿宋" w:eastAsia="仿宋"/>
                <w:sz w:val="18"/>
                <w:szCs w:val="18"/>
              </w:rPr>
              <w:t>支持在线查看及编辑标准数据模型，定义数据模型的字段组成、英文名称、中文注释、相关联的实体表、版本数量等信息。</w:t>
            </w:r>
          </w:p>
          <w:p w14:paraId="659E4306">
            <w:pPr>
              <w:spacing w:line="240" w:lineRule="auto"/>
              <w:ind w:firstLine="360" w:firstLineChars="200"/>
              <w:rPr>
                <w:rFonts w:ascii="仿宋" w:hAnsi="仿宋" w:eastAsia="仿宋"/>
                <w:sz w:val="18"/>
                <w:szCs w:val="18"/>
              </w:rPr>
            </w:pPr>
            <w:r>
              <w:rPr>
                <w:rFonts w:hint="eastAsia" w:ascii="仿宋" w:hAnsi="仿宋" w:eastAsia="仿宋"/>
                <w:sz w:val="18"/>
                <w:szCs w:val="18"/>
              </w:rPr>
              <w:t>支持按照主题对标准数据模型进行分类管理。支持自定义分类，不限分类层级。</w:t>
            </w:r>
          </w:p>
          <w:p w14:paraId="39CC9A69">
            <w:pPr>
              <w:spacing w:line="240" w:lineRule="auto"/>
              <w:ind w:firstLine="360" w:firstLineChars="200"/>
              <w:rPr>
                <w:rFonts w:ascii="仿宋" w:hAnsi="仿宋" w:eastAsia="仿宋"/>
                <w:sz w:val="18"/>
                <w:szCs w:val="18"/>
              </w:rPr>
            </w:pPr>
            <w:r>
              <w:rPr>
                <w:rFonts w:hint="eastAsia" w:ascii="仿宋" w:hAnsi="仿宋" w:eastAsia="仿宋"/>
                <w:sz w:val="18"/>
                <w:szCs w:val="18"/>
              </w:rPr>
              <w:t>支持对单个标准数据模型管理的内容变化进行自动跟踪，每当内容发生变化时，自动生成新的版本，并留存历史版本的内容。可随时查看每个版本的时间和具体内容。</w:t>
            </w:r>
          </w:p>
          <w:p w14:paraId="2B10E43D">
            <w:pPr>
              <w:spacing w:line="240" w:lineRule="auto"/>
              <w:ind w:firstLine="360" w:firstLineChars="200"/>
              <w:rPr>
                <w:rFonts w:ascii="仿宋" w:hAnsi="仿宋" w:eastAsia="仿宋"/>
                <w:sz w:val="18"/>
                <w:szCs w:val="18"/>
              </w:rPr>
            </w:pPr>
            <w:r>
              <w:rPr>
                <w:rFonts w:hint="eastAsia" w:ascii="仿宋" w:hAnsi="仿宋" w:eastAsia="仿宋"/>
                <w:sz w:val="18"/>
                <w:szCs w:val="18"/>
              </w:rPr>
              <w:t>支持基于标准数据模型直接在数据库中自动生成对应的实体表，也可以生成SQL脚本以便手工建表。要求生成实体表的操作既支持针对单个模型，也支持一次性针对多个模型批量生成实体表。</w:t>
            </w:r>
          </w:p>
          <w:p w14:paraId="0B4290BB">
            <w:pPr>
              <w:spacing w:line="240" w:lineRule="auto"/>
              <w:ind w:firstLine="360" w:firstLineChars="200"/>
              <w:rPr>
                <w:rFonts w:ascii="仿宋" w:hAnsi="仿宋" w:eastAsia="仿宋"/>
                <w:sz w:val="18"/>
                <w:szCs w:val="18"/>
              </w:rPr>
            </w:pPr>
            <w:r>
              <w:rPr>
                <w:rFonts w:hint="eastAsia" w:ascii="仿宋" w:hAnsi="仿宋" w:eastAsia="仿宋"/>
                <w:sz w:val="18"/>
                <w:szCs w:val="18"/>
              </w:rPr>
              <w:t>基于数据模型自动生成实体表时，系统应自动记录模型与实体表的关联关系。支持手工断开模型与实体表的关联关系，断开关联关系后，允许利用同一个模型重新生成另外的实体表。</w:t>
            </w:r>
          </w:p>
          <w:p w14:paraId="4495A588">
            <w:pPr>
              <w:spacing w:line="240" w:lineRule="auto"/>
              <w:ind w:firstLine="360" w:firstLineChars="200"/>
              <w:rPr>
                <w:rFonts w:ascii="仿宋" w:hAnsi="仿宋" w:eastAsia="仿宋"/>
                <w:sz w:val="18"/>
                <w:szCs w:val="18"/>
              </w:rPr>
            </w:pPr>
            <w:r>
              <w:rPr>
                <w:rFonts w:hint="eastAsia" w:ascii="仿宋" w:hAnsi="仿宋" w:eastAsia="仿宋"/>
                <w:sz w:val="18"/>
                <w:szCs w:val="18"/>
              </w:rPr>
              <w:t>支持对模型与实体表各自的版本变化进行动态跟踪。当模型与实体表出现差异时，系统应自动予以提示，并给出具体的差异详情。</w:t>
            </w:r>
          </w:p>
          <w:p w14:paraId="26DCA2E9">
            <w:pPr>
              <w:spacing w:line="240" w:lineRule="auto"/>
              <w:ind w:firstLine="360" w:firstLineChars="200"/>
              <w:rPr>
                <w:rFonts w:ascii="仿宋" w:hAnsi="仿宋" w:eastAsia="仿宋"/>
                <w:sz w:val="18"/>
                <w:szCs w:val="18"/>
              </w:rPr>
            </w:pPr>
            <w:r>
              <w:rPr>
                <w:rFonts w:hint="eastAsia" w:ascii="仿宋" w:hAnsi="仿宋" w:eastAsia="仿宋"/>
                <w:sz w:val="18"/>
                <w:szCs w:val="18"/>
              </w:rPr>
              <w:t>支持对单个标准数据模型管理的内容变化进行版本跟踪，每当内容发生变化时，自动生成新的版本，并留存历史版本的内容。</w:t>
            </w:r>
          </w:p>
          <w:p w14:paraId="4B0D95C4">
            <w:pPr>
              <w:spacing w:line="240" w:lineRule="auto"/>
              <w:ind w:firstLine="360" w:firstLineChars="200"/>
              <w:rPr>
                <w:rFonts w:ascii="仿宋" w:hAnsi="仿宋" w:eastAsia="仿宋"/>
                <w:sz w:val="18"/>
                <w:szCs w:val="18"/>
              </w:rPr>
            </w:pPr>
            <w:r>
              <w:rPr>
                <w:rFonts w:hint="eastAsia" w:ascii="仿宋" w:hAnsi="仿宋" w:eastAsia="仿宋"/>
                <w:sz w:val="18"/>
                <w:szCs w:val="18"/>
              </w:rPr>
              <w:t>支持对单个数据模型的不同版本进行内容差异比对，比对后可显示存在差异的字段名称、字段定义等详细信息。</w:t>
            </w:r>
          </w:p>
          <w:p w14:paraId="6B1913A1">
            <w:pPr>
              <w:spacing w:line="240" w:lineRule="auto"/>
              <w:ind w:firstLine="360" w:firstLineChars="200"/>
              <w:rPr>
                <w:rFonts w:ascii="仿宋" w:hAnsi="仿宋" w:eastAsia="仿宋"/>
                <w:sz w:val="18"/>
                <w:szCs w:val="18"/>
              </w:rPr>
            </w:pPr>
            <w:r>
              <w:rPr>
                <w:rFonts w:hint="eastAsia" w:ascii="仿宋" w:hAnsi="仿宋" w:eastAsia="仿宋"/>
                <w:sz w:val="18"/>
                <w:szCs w:val="18"/>
              </w:rPr>
              <w:t>支持对标准数据模型的集合进行版本管理，指定主版本作为生效版本。可对标准数据模型集合的不同版本的进行内容差异比对，比对后可显示存在差异的模型名称、字段定义等详细信息，可批量导出差异信息。</w:t>
            </w:r>
          </w:p>
          <w:p w14:paraId="0F7C373A">
            <w:pPr>
              <w:spacing w:line="240" w:lineRule="auto"/>
              <w:ind w:firstLine="360" w:firstLineChars="200"/>
              <w:rPr>
                <w:rFonts w:ascii="仿宋" w:hAnsi="仿宋" w:eastAsia="仿宋"/>
                <w:sz w:val="18"/>
                <w:szCs w:val="18"/>
              </w:rPr>
            </w:pPr>
            <w:r>
              <w:rPr>
                <w:rFonts w:hint="eastAsia" w:ascii="仿宋" w:hAnsi="仿宋" w:eastAsia="仿宋"/>
                <w:sz w:val="18"/>
                <w:szCs w:val="18"/>
              </w:rPr>
              <w:t>支持在线管理所有由标准数据模型生成的实体表对象，查看实体表的字段组成、英文名称、中文注释、存储位置等信息。</w:t>
            </w:r>
          </w:p>
          <w:p w14:paraId="569370E1">
            <w:pPr>
              <w:spacing w:line="240" w:lineRule="auto"/>
              <w:ind w:firstLine="360" w:firstLineChars="200"/>
              <w:rPr>
                <w:rFonts w:ascii="仿宋" w:hAnsi="仿宋" w:eastAsia="仿宋"/>
                <w:sz w:val="18"/>
                <w:szCs w:val="18"/>
              </w:rPr>
            </w:pPr>
            <w:r>
              <w:rPr>
                <w:rFonts w:hint="eastAsia" w:ascii="仿宋" w:hAnsi="仿宋" w:eastAsia="仿宋"/>
                <w:sz w:val="18"/>
                <w:szCs w:val="18"/>
              </w:rPr>
              <w:t>可显示每个实体表与其对应模型的一致性，存在差异时，系统应自动予以提示，并给出具体的差异详情。可在线编辑实体表，进行字段的新增、删除、修改。</w:t>
            </w:r>
          </w:p>
          <w:p w14:paraId="586157DA">
            <w:pPr>
              <w:spacing w:line="240" w:lineRule="auto"/>
              <w:ind w:firstLine="360" w:firstLineChars="200"/>
              <w:rPr>
                <w:rFonts w:ascii="仿宋" w:hAnsi="仿宋" w:eastAsia="仿宋"/>
                <w:sz w:val="18"/>
                <w:szCs w:val="18"/>
              </w:rPr>
            </w:pPr>
            <w:r>
              <w:rPr>
                <w:rFonts w:hint="eastAsia" w:ascii="仿宋" w:hAnsi="仿宋" w:eastAsia="仿宋"/>
                <w:sz w:val="18"/>
                <w:szCs w:val="18"/>
              </w:rPr>
              <w:t>在数据模型设计过程中，要求系统自动强制保证标准数据模型中仅允许引用在数据标准中已经实现定义过的标准数据元，并自动继承标准数据元的各项属性、各种绑定要素，从而保证所有标准数据模型中的字段定义具备全局一致性。</w:t>
            </w:r>
          </w:p>
          <w:p w14:paraId="2C5A3C38">
            <w:pPr>
              <w:spacing w:line="240" w:lineRule="auto"/>
              <w:ind w:firstLine="360" w:firstLineChars="200"/>
              <w:rPr>
                <w:rFonts w:ascii="仿宋" w:hAnsi="仿宋" w:eastAsia="仿宋"/>
                <w:sz w:val="18"/>
                <w:szCs w:val="18"/>
              </w:rPr>
            </w:pPr>
            <w:r>
              <w:rPr>
                <w:rFonts w:hint="eastAsia" w:ascii="仿宋" w:hAnsi="仿宋" w:eastAsia="仿宋"/>
                <w:sz w:val="18"/>
                <w:szCs w:val="18"/>
              </w:rPr>
              <w:t>要求系统自动对数据模型与实体表的一致性进行动态跟踪。当存在差异时，系统应自动予以提示，并给出具体的差异详情。支持一键操作完成模型与实体表的同步，既支持修改模型以匹配实体表，也支持修改实体表以匹配模型。在实体表编辑过程中，支持一键操作将实体表的字段变更同步应用到对应的模型上，从而维持模型与实体表的一致性。同步过程中，实体表中新增的字段可自动扩充到标准数据元集合中，从保持标准数据元素、标准数据模型、实体表三者的一致性。</w:t>
            </w:r>
          </w:p>
          <w:p w14:paraId="60695D56">
            <w:pPr>
              <w:spacing w:line="240" w:lineRule="auto"/>
              <w:rPr>
                <w:rFonts w:ascii="仿宋" w:hAnsi="仿宋" w:eastAsia="仿宋"/>
                <w:b/>
                <w:sz w:val="18"/>
                <w:szCs w:val="18"/>
              </w:rPr>
            </w:pPr>
            <w:r>
              <w:rPr>
                <w:rFonts w:hint="eastAsia" w:ascii="仿宋" w:hAnsi="仿宋" w:eastAsia="仿宋"/>
                <w:b/>
                <w:sz w:val="18"/>
                <w:szCs w:val="18"/>
              </w:rPr>
              <w:t>2.4数据工程看板</w:t>
            </w:r>
          </w:p>
          <w:p w14:paraId="44E9A932">
            <w:pPr>
              <w:spacing w:line="240" w:lineRule="auto"/>
              <w:ind w:firstLine="360" w:firstLineChars="200"/>
              <w:rPr>
                <w:rFonts w:ascii="仿宋" w:hAnsi="仿宋" w:eastAsia="仿宋"/>
                <w:sz w:val="18"/>
                <w:szCs w:val="18"/>
              </w:rPr>
            </w:pPr>
            <w:r>
              <w:rPr>
                <w:rFonts w:hint="eastAsia" w:ascii="仿宋" w:hAnsi="仿宋" w:eastAsia="仿宋"/>
                <w:sz w:val="18"/>
                <w:szCs w:val="18"/>
              </w:rPr>
              <w:t>自动收集数据，呈现数据治理成效，建立多维度的评估体系，从经验视角到数据视角的数据管理，有效管控数据治理成效。</w:t>
            </w:r>
          </w:p>
          <w:p w14:paraId="4BDC7D9C">
            <w:pPr>
              <w:spacing w:line="240" w:lineRule="auto"/>
              <w:ind w:firstLine="360" w:firstLineChars="200"/>
              <w:rPr>
                <w:rFonts w:ascii="仿宋" w:hAnsi="仿宋" w:eastAsia="仿宋"/>
                <w:sz w:val="18"/>
                <w:szCs w:val="18"/>
              </w:rPr>
            </w:pPr>
            <w:r>
              <w:rPr>
                <w:rFonts w:hint="eastAsia" w:ascii="仿宋" w:hAnsi="仿宋" w:eastAsia="仿宋"/>
                <w:sz w:val="18"/>
                <w:szCs w:val="18"/>
              </w:rPr>
              <w:t>记录数据的流向，可实现数据的溯源，如：业务部门数量、业务系统数量、厂商数量、数据表等，实现数据治理成果溯源管理。</w:t>
            </w:r>
          </w:p>
          <w:p w14:paraId="7A1404F2">
            <w:pPr>
              <w:spacing w:line="240" w:lineRule="auto"/>
              <w:ind w:firstLine="360" w:firstLineChars="200"/>
              <w:rPr>
                <w:rFonts w:ascii="仿宋" w:hAnsi="仿宋" w:eastAsia="仿宋"/>
                <w:sz w:val="18"/>
                <w:szCs w:val="18"/>
              </w:rPr>
            </w:pPr>
            <w:r>
              <w:rPr>
                <w:rFonts w:hint="eastAsia" w:ascii="仿宋" w:hAnsi="仿宋" w:eastAsia="仿宋"/>
                <w:sz w:val="18"/>
                <w:szCs w:val="18"/>
              </w:rPr>
              <w:t>实现治理成果的监控管理，看板指标每日自动刷新，也支持手动即时刷新。可导出治理成果的监控指标。导出时可选择具体日期，导出后可查看业务系统、数据湖、数据仓库、数据集市、数据共享情况，以表格形式对各项值进行统计。</w:t>
            </w:r>
          </w:p>
          <w:p w14:paraId="3F1F55E6">
            <w:pPr>
              <w:spacing w:line="240" w:lineRule="auto"/>
              <w:ind w:firstLine="360" w:firstLineChars="200"/>
              <w:rPr>
                <w:rFonts w:ascii="仿宋" w:hAnsi="仿宋" w:eastAsia="仿宋"/>
                <w:sz w:val="18"/>
                <w:szCs w:val="18"/>
              </w:rPr>
            </w:pPr>
            <w:r>
              <w:rPr>
                <w:rFonts w:hint="eastAsia" w:ascii="仿宋" w:hAnsi="仿宋" w:eastAsia="仿宋"/>
                <w:sz w:val="18"/>
                <w:szCs w:val="18"/>
              </w:rPr>
              <w:t>可查看近一个月、近三个月和近一年的数据统计变化趋势，支持折线图的展示，便于查看管理，对治理成效进行管理。</w:t>
            </w:r>
          </w:p>
          <w:p w14:paraId="6FCE672E">
            <w:pPr>
              <w:spacing w:line="240" w:lineRule="auto"/>
              <w:ind w:firstLine="360" w:firstLineChars="200"/>
              <w:rPr>
                <w:rFonts w:ascii="仿宋" w:hAnsi="仿宋" w:eastAsia="仿宋"/>
                <w:sz w:val="18"/>
                <w:szCs w:val="18"/>
              </w:rPr>
            </w:pPr>
            <w:r>
              <w:rPr>
                <w:rFonts w:hint="eastAsia" w:ascii="仿宋" w:hAnsi="仿宋" w:eastAsia="仿宋"/>
                <w:sz w:val="18"/>
                <w:szCs w:val="18"/>
              </w:rPr>
              <w:t>通过报表统计记录库表对接统计、数据补录统计、各部门数据交换情况，可根据时间检索，可导出统计数据。</w:t>
            </w:r>
          </w:p>
          <w:p w14:paraId="1DE00B56">
            <w:pPr>
              <w:spacing w:line="240" w:lineRule="auto"/>
              <w:rPr>
                <w:rFonts w:ascii="仿宋" w:hAnsi="仿宋" w:eastAsia="仿宋"/>
                <w:b/>
                <w:sz w:val="18"/>
                <w:szCs w:val="18"/>
              </w:rPr>
            </w:pPr>
            <w:r>
              <w:rPr>
                <w:rFonts w:hint="eastAsia" w:ascii="仿宋" w:hAnsi="仿宋" w:eastAsia="仿宋"/>
                <w:b/>
                <w:sz w:val="18"/>
                <w:szCs w:val="18"/>
              </w:rPr>
              <w:t>2.5数据仓库运维</w:t>
            </w:r>
          </w:p>
          <w:p w14:paraId="3C33E6B7">
            <w:pPr>
              <w:spacing w:line="240" w:lineRule="auto"/>
              <w:ind w:firstLine="360" w:firstLineChars="200"/>
              <w:rPr>
                <w:rFonts w:ascii="仿宋" w:hAnsi="仿宋" w:eastAsia="仿宋"/>
                <w:sz w:val="18"/>
                <w:szCs w:val="18"/>
              </w:rPr>
            </w:pPr>
            <w:r>
              <w:rPr>
                <w:rFonts w:hint="eastAsia" w:ascii="仿宋" w:hAnsi="仿宋" w:eastAsia="仿宋"/>
                <w:sz w:val="18"/>
                <w:szCs w:val="18"/>
              </w:rPr>
              <w:t>可</w:t>
            </w:r>
            <w:r>
              <w:rPr>
                <w:rFonts w:ascii="仿宋" w:hAnsi="仿宋" w:eastAsia="仿宋"/>
                <w:sz w:val="18"/>
                <w:szCs w:val="18"/>
              </w:rPr>
              <w:t>查看数据源管理模块的数据概览情况，包括：异常数据源、停用数据源、删除数据源、DB连接用户变更数，支持查看详情。</w:t>
            </w:r>
            <w:r>
              <w:rPr>
                <w:rFonts w:hint="eastAsia" w:ascii="仿宋" w:hAnsi="仿宋" w:eastAsia="仿宋"/>
                <w:sz w:val="18"/>
                <w:szCs w:val="18"/>
              </w:rPr>
              <w:t>可</w:t>
            </w:r>
            <w:r>
              <w:rPr>
                <w:rFonts w:ascii="仿宋" w:hAnsi="仿宋" w:eastAsia="仿宋"/>
                <w:sz w:val="18"/>
                <w:szCs w:val="18"/>
              </w:rPr>
              <w:t>查看数据集成模块的数据概览情况，包括：ETL接口异常数、删除数据表、任务异常数和敏感操作数，支持查看详情。</w:t>
            </w:r>
            <w:r>
              <w:rPr>
                <w:rFonts w:hint="eastAsia" w:ascii="仿宋" w:hAnsi="仿宋" w:eastAsia="仿宋"/>
                <w:sz w:val="18"/>
                <w:szCs w:val="18"/>
              </w:rPr>
              <w:t>可</w:t>
            </w:r>
            <w:r>
              <w:rPr>
                <w:rFonts w:ascii="仿宋" w:hAnsi="仿宋" w:eastAsia="仿宋"/>
                <w:sz w:val="18"/>
                <w:szCs w:val="18"/>
              </w:rPr>
              <w:t>查看数据目录模块的数据概览情况，包括：主题清单异常数、今日申请数、已处理申请数，支持查看详情。</w:t>
            </w:r>
            <w:r>
              <w:rPr>
                <w:rFonts w:hint="eastAsia" w:ascii="仿宋" w:hAnsi="仿宋" w:eastAsia="仿宋"/>
                <w:sz w:val="18"/>
                <w:szCs w:val="18"/>
              </w:rPr>
              <w:t>可</w:t>
            </w:r>
            <w:r>
              <w:rPr>
                <w:rFonts w:ascii="仿宋" w:hAnsi="仿宋" w:eastAsia="仿宋"/>
                <w:sz w:val="18"/>
                <w:szCs w:val="18"/>
              </w:rPr>
              <w:t>查看数据标准模块的数据概览情况，包括：数据元变更数、代码表变更数、编码规则变更数，支持查看详情。</w:t>
            </w:r>
            <w:r>
              <w:rPr>
                <w:rFonts w:hint="eastAsia" w:ascii="仿宋" w:hAnsi="仿宋" w:eastAsia="仿宋"/>
                <w:sz w:val="18"/>
                <w:szCs w:val="18"/>
              </w:rPr>
              <w:t>可</w:t>
            </w:r>
            <w:r>
              <w:rPr>
                <w:rFonts w:ascii="仿宋" w:hAnsi="仿宋" w:eastAsia="仿宋"/>
                <w:sz w:val="18"/>
                <w:szCs w:val="18"/>
              </w:rPr>
              <w:t>查看数据模型模块的数据概览情况，支持查看实体表异常数、删除实体表数、敏感操作数，支持查看详情。</w:t>
            </w:r>
            <w:r>
              <w:rPr>
                <w:rFonts w:hint="eastAsia" w:ascii="仿宋" w:hAnsi="仿宋" w:eastAsia="仿宋"/>
                <w:sz w:val="18"/>
                <w:szCs w:val="18"/>
              </w:rPr>
              <w:t>可</w:t>
            </w:r>
            <w:r>
              <w:rPr>
                <w:rFonts w:ascii="仿宋" w:hAnsi="仿宋" w:eastAsia="仿宋"/>
                <w:sz w:val="18"/>
                <w:szCs w:val="18"/>
              </w:rPr>
              <w:t>查看元数据中心模块的数据概览情况，包括：元数据结构变更数、元数据删除数、元数据采集任务失败数，支持查看详情。</w:t>
            </w:r>
            <w:r>
              <w:rPr>
                <w:rFonts w:hint="eastAsia" w:ascii="仿宋" w:hAnsi="仿宋" w:eastAsia="仿宋"/>
                <w:sz w:val="18"/>
                <w:szCs w:val="18"/>
              </w:rPr>
              <w:t>可</w:t>
            </w:r>
            <w:r>
              <w:rPr>
                <w:rFonts w:ascii="仿宋" w:hAnsi="仿宋" w:eastAsia="仿宋"/>
                <w:sz w:val="18"/>
                <w:szCs w:val="18"/>
              </w:rPr>
              <w:t>查看主数据中心模块的数据概览情况，包括：主数据异动数、主数据备份失败数、敏感操作数，支持查看详情。</w:t>
            </w:r>
            <w:r>
              <w:rPr>
                <w:rFonts w:hint="eastAsia" w:ascii="仿宋" w:hAnsi="仿宋" w:eastAsia="仿宋"/>
                <w:sz w:val="18"/>
                <w:szCs w:val="18"/>
              </w:rPr>
              <w:t>可</w:t>
            </w:r>
            <w:r>
              <w:rPr>
                <w:rFonts w:ascii="仿宋" w:hAnsi="仿宋" w:eastAsia="仿宋"/>
                <w:sz w:val="18"/>
                <w:szCs w:val="18"/>
              </w:rPr>
              <w:t>查看数据质量管理模块的数据概览情况，包括：检测规则删除数、检核任务失败数，支持查看详情。</w:t>
            </w:r>
            <w:r>
              <w:rPr>
                <w:rFonts w:hint="eastAsia" w:ascii="仿宋" w:hAnsi="仿宋" w:eastAsia="仿宋"/>
                <w:sz w:val="18"/>
                <w:szCs w:val="18"/>
              </w:rPr>
              <w:t>可</w:t>
            </w:r>
            <w:r>
              <w:rPr>
                <w:rFonts w:ascii="仿宋" w:hAnsi="仿宋" w:eastAsia="仿宋"/>
                <w:sz w:val="18"/>
                <w:szCs w:val="18"/>
              </w:rPr>
              <w:t>查看数据安全模块的数据概览情况，包括：敏感操作数，支持查看详情。</w:t>
            </w:r>
          </w:p>
          <w:p w14:paraId="0C34FCE9">
            <w:pPr>
              <w:spacing w:line="240" w:lineRule="auto"/>
              <w:ind w:firstLine="360" w:firstLineChars="200"/>
              <w:rPr>
                <w:rFonts w:ascii="仿宋" w:hAnsi="仿宋" w:eastAsia="仿宋"/>
                <w:sz w:val="18"/>
                <w:szCs w:val="18"/>
              </w:rPr>
            </w:pPr>
            <w:r>
              <w:rPr>
                <w:rFonts w:hint="eastAsia" w:ascii="仿宋" w:hAnsi="仿宋" w:eastAsia="仿宋"/>
                <w:sz w:val="18"/>
                <w:szCs w:val="18"/>
              </w:rPr>
              <w:t>可</w:t>
            </w:r>
            <w:r>
              <w:rPr>
                <w:rFonts w:ascii="仿宋" w:hAnsi="仿宋" w:eastAsia="仿宋"/>
                <w:sz w:val="18"/>
                <w:szCs w:val="18"/>
              </w:rPr>
              <w:t>查看服务器资源总览，包括：磁盘利用率、CPU利用率、内存利用率。</w:t>
            </w:r>
          </w:p>
          <w:p w14:paraId="31C72B8B">
            <w:pPr>
              <w:spacing w:line="240" w:lineRule="auto"/>
              <w:ind w:firstLine="360" w:firstLineChars="200"/>
              <w:rPr>
                <w:rFonts w:ascii="仿宋" w:hAnsi="仿宋" w:eastAsia="仿宋"/>
                <w:sz w:val="18"/>
                <w:szCs w:val="18"/>
              </w:rPr>
            </w:pPr>
            <w:r>
              <w:rPr>
                <w:rFonts w:hint="eastAsia" w:ascii="仿宋" w:hAnsi="仿宋" w:eastAsia="仿宋"/>
                <w:sz w:val="18"/>
                <w:szCs w:val="18"/>
              </w:rPr>
              <w:t>可</w:t>
            </w:r>
            <w:r>
              <w:rPr>
                <w:rFonts w:ascii="仿宋" w:hAnsi="仿宋" w:eastAsia="仿宋"/>
                <w:sz w:val="18"/>
                <w:szCs w:val="18"/>
              </w:rPr>
              <w:t>查看数据中台中业务系统的基本信息，包括：业务部门数、业务系统数、厂商数量、数据表数量、包含数据项、数据总量、数据总体积、表注释率、字段注释率；</w:t>
            </w:r>
          </w:p>
          <w:p w14:paraId="5B0CFEC1">
            <w:pPr>
              <w:spacing w:line="240" w:lineRule="auto"/>
              <w:ind w:firstLine="360" w:firstLineChars="200"/>
              <w:rPr>
                <w:rFonts w:ascii="仿宋" w:hAnsi="仿宋" w:eastAsia="仿宋"/>
                <w:sz w:val="18"/>
                <w:szCs w:val="18"/>
              </w:rPr>
            </w:pPr>
            <w:r>
              <w:rPr>
                <w:rFonts w:hint="eastAsia" w:ascii="仿宋" w:hAnsi="仿宋" w:eastAsia="仿宋"/>
                <w:sz w:val="18"/>
                <w:szCs w:val="18"/>
              </w:rPr>
              <w:t>可</w:t>
            </w:r>
            <w:r>
              <w:rPr>
                <w:rFonts w:ascii="仿宋" w:hAnsi="仿宋" w:eastAsia="仿宋"/>
                <w:sz w:val="18"/>
                <w:szCs w:val="18"/>
              </w:rPr>
              <w:t>查看数据中台中数据仓库的数据治理成果信息，包括：标准模型数、业务部门数、业务系统数、数据表数量、包含数据项、数据条目数、数据总体积、代码表数量、代码表数据项、代码表数据条目数、检测数据表、检测数据项、已绑定检测规则数、检测规则数、检测规则利用率、上行接口数、下行接口数、开放数据清单、数据申请次数、服务应用数、服务用户数、空值率、表注释率、字段注释率</w:t>
            </w:r>
            <w:r>
              <w:rPr>
                <w:rFonts w:hint="eastAsia" w:ascii="仿宋" w:hAnsi="仿宋" w:eastAsia="仿宋"/>
                <w:sz w:val="18"/>
                <w:szCs w:val="18"/>
              </w:rPr>
              <w:t>。</w:t>
            </w:r>
          </w:p>
        </w:tc>
      </w:tr>
      <w:tr w14:paraId="0343899F">
        <w:tblPrEx>
          <w:tblCellMar>
            <w:top w:w="0" w:type="dxa"/>
            <w:left w:w="108" w:type="dxa"/>
            <w:bottom w:w="0" w:type="dxa"/>
            <w:right w:w="108" w:type="dxa"/>
          </w:tblCellMar>
        </w:tblPrEx>
        <w:trPr>
          <w:trHeight w:val="121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F63A3">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1046" w:type="dxa"/>
            <w:tcBorders>
              <w:top w:val="single" w:color="000000" w:sz="4" w:space="0"/>
              <w:left w:val="single" w:color="000000" w:sz="4" w:space="0"/>
              <w:bottom w:val="single" w:color="000000" w:sz="4" w:space="0"/>
              <w:right w:val="single" w:color="000000" w:sz="4" w:space="0"/>
            </w:tcBorders>
            <w:vAlign w:val="center"/>
          </w:tcPr>
          <w:p w14:paraId="27F18282">
            <w:pPr>
              <w:widowControl/>
              <w:jc w:val="center"/>
              <w:rPr>
                <w:rFonts w:ascii="宋体" w:hAnsi="宋体" w:cs="宋体"/>
                <w:b/>
                <w:bCs/>
                <w:kern w:val="0"/>
                <w:sz w:val="18"/>
                <w:szCs w:val="18"/>
              </w:rPr>
            </w:pPr>
            <w:r>
              <w:rPr>
                <w:rFonts w:hint="eastAsia" w:ascii="宋体" w:hAnsi="宋体" w:cs="宋体"/>
                <w:b/>
                <w:bCs/>
                <w:kern w:val="0"/>
                <w:sz w:val="18"/>
                <w:szCs w:val="18"/>
              </w:rPr>
              <w:t>数据共享</w:t>
            </w:r>
          </w:p>
        </w:tc>
        <w:tc>
          <w:tcPr>
            <w:tcW w:w="6327" w:type="dxa"/>
            <w:tcBorders>
              <w:top w:val="single" w:color="000000" w:sz="4" w:space="0"/>
              <w:left w:val="single" w:color="000000" w:sz="4" w:space="0"/>
              <w:bottom w:val="single" w:color="auto" w:sz="4" w:space="0"/>
              <w:right w:val="single" w:color="000000" w:sz="4" w:space="0"/>
            </w:tcBorders>
            <w:vAlign w:val="center"/>
          </w:tcPr>
          <w:p w14:paraId="1661A9C0">
            <w:pPr>
              <w:spacing w:line="240" w:lineRule="auto"/>
              <w:rPr>
                <w:rFonts w:ascii="仿宋" w:hAnsi="仿宋" w:eastAsia="仿宋"/>
                <w:b/>
                <w:sz w:val="18"/>
                <w:szCs w:val="18"/>
              </w:rPr>
            </w:pPr>
            <w:r>
              <w:rPr>
                <w:rFonts w:hint="eastAsia" w:ascii="仿宋" w:hAnsi="仿宋" w:eastAsia="仿宋"/>
                <w:b/>
                <w:sz w:val="18"/>
                <w:szCs w:val="18"/>
              </w:rPr>
              <w:t>3.1数据资产目录管理</w:t>
            </w:r>
          </w:p>
          <w:p w14:paraId="2DC077F7">
            <w:pPr>
              <w:spacing w:line="240" w:lineRule="auto"/>
              <w:ind w:firstLine="360" w:firstLineChars="200"/>
              <w:rPr>
                <w:rFonts w:ascii="仿宋" w:hAnsi="仿宋" w:eastAsia="仿宋"/>
                <w:sz w:val="18"/>
                <w:szCs w:val="18"/>
              </w:rPr>
            </w:pPr>
            <w:r>
              <w:rPr>
                <w:rFonts w:hint="eastAsia" w:ascii="仿宋" w:hAnsi="仿宋" w:eastAsia="仿宋"/>
                <w:sz w:val="18"/>
                <w:szCs w:val="18"/>
              </w:rPr>
              <w:t>提供数据资源目录展示所有已发布的数据资源。至少显示数据资源的所属部门、所属业务系统、数据接口格式、字段说明、申请总数、更新频率、字段数、调用次数、数据量等信息。支持进行数据预览功能，预览时自动对数据进行脱敏显示。</w:t>
            </w:r>
          </w:p>
          <w:p w14:paraId="1778FAD3">
            <w:pPr>
              <w:spacing w:line="240" w:lineRule="auto"/>
              <w:rPr>
                <w:rFonts w:ascii="仿宋" w:hAnsi="仿宋" w:eastAsia="仿宋"/>
                <w:b/>
                <w:sz w:val="18"/>
                <w:szCs w:val="18"/>
              </w:rPr>
            </w:pPr>
            <w:r>
              <w:rPr>
                <w:rFonts w:hint="eastAsia" w:ascii="仿宋" w:hAnsi="仿宋" w:eastAsia="仿宋"/>
                <w:b/>
                <w:sz w:val="18"/>
                <w:szCs w:val="18"/>
              </w:rPr>
              <w:t>3.2数据资源发布管理</w:t>
            </w:r>
          </w:p>
          <w:p w14:paraId="2257F5C2">
            <w:pPr>
              <w:spacing w:line="240" w:lineRule="auto"/>
              <w:ind w:firstLine="360" w:firstLineChars="200"/>
              <w:rPr>
                <w:rFonts w:ascii="仿宋" w:hAnsi="仿宋" w:eastAsia="仿宋"/>
                <w:sz w:val="18"/>
                <w:szCs w:val="18"/>
              </w:rPr>
            </w:pPr>
            <w:r>
              <w:rPr>
                <w:rFonts w:hint="eastAsia" w:ascii="仿宋" w:hAnsi="仿宋" w:eastAsia="仿宋"/>
                <w:sz w:val="18"/>
                <w:szCs w:val="18"/>
              </w:rPr>
              <w:t>1）支持将多种不同类型的数据资源发布到数据资源门户中，供用户按需申请所需数据。支持自定义资源的整体分类方式和类型名称，支持自定义多个分类层级。发布数据资源时，支持自定义资源名称和所在分类，支持资源配置检索关键字便于使用者进行查询。</w:t>
            </w:r>
          </w:p>
          <w:p w14:paraId="64E48FE5">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2）支持对结构化数据资源进行发布，至少支持API接口、离线表格、数据库、ETL4种发布方式。并支持对发布的数据清单进行脱敏、加密等操作。包含附件字段的，支持指定附件字段是否允许下载功能。支持选择数据资源对外服务时暴露的字段范围，支持选择全部或指定部分字段。对于API接口方式，支持选择API的封装格式，且至少支持JSON、XML、TXT三种格式。</w:t>
            </w:r>
          </w:p>
          <w:p w14:paraId="32DD5AE1">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支持对数据发布的范围进行再次编辑，至少应包括增加字段、注释更改等操作。在结构化数据资源已发布为API接口并被使用后，正常运行的情况下，支持编辑过程中API接口服务不中断，下游应用无感知。</w:t>
            </w:r>
          </w:p>
          <w:p w14:paraId="6BD41255">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3）支持对非结构化的文件资源进行发布。至少支持发布文本、OFFICE文档、PDF文档、图片、音视频媒体、压缩包、XML等不同类型的资源，支持的文件格式类型不少于25种。</w:t>
            </w:r>
          </w:p>
          <w:p w14:paraId="6462B015">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4）支持对第三方API接口进行发布，实现API的转发服务。支持指定API请求参数，至少包括定义参数的名称、参数位置、数据类型、默认值等规范。</w:t>
            </w:r>
          </w:p>
          <w:p w14:paraId="57A33A38">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5）支持对第三方KAFKA消息队列进行发布，实现KAFKA消息订阅服务，发布时支持指定特定Topic。</w:t>
            </w:r>
          </w:p>
          <w:p w14:paraId="1BF147A5">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6）对已发布的清单，提供修改清单状态、进行数据测试或删除数据清单等功能。对已发布清单的所属部门、主题提供批量设置功能。支持下载数据清单的数据字典；提供数据清单导出为Excel功能。支持多种排序规则对数据清单进行排序，排序规则至少包括api调用次数、离线表格下载次数、支撑应用数、申请数等。</w:t>
            </w:r>
          </w:p>
          <w:p w14:paraId="3DAEFFD5">
            <w:pPr>
              <w:widowControl/>
              <w:adjustRightInd w:val="0"/>
              <w:snapToGrid w:val="0"/>
              <w:spacing w:line="240" w:lineRule="auto"/>
              <w:rPr>
                <w:rFonts w:ascii="仿宋" w:hAnsi="仿宋" w:eastAsia="仿宋"/>
                <w:b/>
                <w:sz w:val="18"/>
                <w:szCs w:val="18"/>
              </w:rPr>
            </w:pPr>
            <w:r>
              <w:rPr>
                <w:rFonts w:hint="eastAsia" w:ascii="仿宋" w:hAnsi="仿宋" w:eastAsia="仿宋"/>
                <w:b/>
                <w:sz w:val="18"/>
                <w:szCs w:val="18"/>
              </w:rPr>
              <w:t>3.3数据资产服务的安全策略管控</w:t>
            </w:r>
          </w:p>
          <w:p w14:paraId="37B5B004">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总体要求：具备策略化的数据资源服务的管控能力，实现精细控制数据资源对应用提供服务的细节，至少支持从调用主体、调用频次、数据范围、服务时间等多个不同维度对数据资源的开放服务进行有效管控。</w:t>
            </w:r>
          </w:p>
          <w:p w14:paraId="66B805E3">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1）支持使用https协议承载API数据服务。</w:t>
            </w:r>
          </w:p>
          <w:p w14:paraId="0CEF3E98">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2）支持数据加密和脱敏功能。支持发布数据清单时，可以加密或脱敏选项保障数据服务的隐私安全。在数据门户界面下浏览数据清单时，支持在获得正式授权之前，只能查看经过脱敏的数据内容功能。</w:t>
            </w:r>
          </w:p>
          <w:p w14:paraId="693A819A">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3）至少支持AES、MD5、国密算法（SM2-4）加密方式。脱敏方式至少支持数字随机脱敏、字符仿真脱敏、字符随机脱敏三种方式，提供在数据发布审核阶段按照数据字段颗粒度进行加密和脱敏功能。</w:t>
            </w:r>
          </w:p>
          <w:p w14:paraId="124B7D60">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4）发起数据资源申请时，提供先查看数据使用保密协议，确认后才可以进行申请功能。</w:t>
            </w:r>
          </w:p>
          <w:p w14:paraId="1AA82BFA">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支持针对特定应用控制其调用某个数据资源的内容范围，可设定判断条件进行筛选控制，支持组合多个判断条件进行复合筛选，或通过SQL语法进行自定义筛选。</w:t>
            </w:r>
          </w:p>
          <w:p w14:paraId="177D1C5B">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支持手工取消某个应用对数据资源的调用授权。</w:t>
            </w:r>
          </w:p>
          <w:p w14:paraId="1AC8D442">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5）支持对数据资源服务的调用频次设置上限，可按照小时、天、周、月等不同时间颗粒度分别进行设置。支持设置数据资源的调用频次限制时，既可以作为全局性限制对所有应用生效，也可以作为针对性限制仅针对特定应用生效。设置全局性调用频次限制时，至少可以根据分类、关键字等属性一次性选择多个数据资源，设置后应自动对选择范围内的所有数据资源生效。设置调用频次限制后，提供某应用程序实际调用数据资源的频次超出策略设定的上限时，应自动停止响应该应用对数据资源的调用功能。管理员可查看超出了频次限制的具体应用程序和数据资源组合，并允许进行手工重置以便恢复数据服务。</w:t>
            </w:r>
          </w:p>
          <w:p w14:paraId="34A89568">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设置数据资源的有效访问时段功能。至少支持指定允许访问时段和指定禁止访问时段2种规则模式，支持按照天、小时、分、秒等不同时间颗粒度设置数据资源的允许访问时段或禁止访问时段。支持设置有效访问时段时，既可以作为全局性设置对所有应用生效，也可以作为针对性设置仅对特定应用生效。设置全局性有效访问时段时，可以根据分类、关键字等属性一次性选择多个数据资源，设置后应自动对选择范围内的所有数据资源生效。设置数据资源的有效访问时段后，应用只允许在有效时段内访问数据资源。支持配置多个不同内容的有效访问时段控制策略，同时生效执行。</w:t>
            </w:r>
          </w:p>
          <w:p w14:paraId="74720280">
            <w:pPr>
              <w:widowControl/>
              <w:numPr>
                <w:ilvl w:val="0"/>
                <w:numId w:val="2"/>
              </w:numPr>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数据访问的黑白名单控制。支持白名单（指定允许名单）、黑名单（指定限制名单）2种规则模式。支持在白/黑名单中指定单个IP地址或IP段范围或域名。可以根据分类、关键字等属性一次性选择多个数据资源，对选择范围内的所有数据资源同时生效。支持配置多个不同内容的源地址控制策略，同时生效执行。</w:t>
            </w:r>
          </w:p>
          <w:p w14:paraId="4FFB2238">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上述各种控制操作，如果是针对特定场景生效的须对每个场景及其相关的数据资源独立生效，互不影响。</w:t>
            </w:r>
          </w:p>
          <w:p w14:paraId="1DDF8E58">
            <w:pPr>
              <w:widowControl/>
              <w:numPr>
                <w:ilvl w:val="0"/>
                <w:numId w:val="2"/>
              </w:numPr>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使用数据资源时，提供线上审核功能，通过流程审核后才能被调用。系统预定义多种用户角色用于数据资源的申请和审核权限管理。系统预定义多种审核流程模式。每种流程模式中，至少支持指定流程节点的数量、每个节点的审核主体、流程的执行顺序等特征。</w:t>
            </w:r>
          </w:p>
          <w:p w14:paraId="2AAAB0C3">
            <w:pPr>
              <w:widowControl/>
              <w:numPr>
                <w:ilvl w:val="0"/>
                <w:numId w:val="2"/>
              </w:numPr>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支持对数据设置安全等级，颗粒度可达到字段级别。支持基于安全等级，实现不同安全等级下数据审核流程的多种不同模式。</w:t>
            </w:r>
          </w:p>
          <w:p w14:paraId="662D2C46">
            <w:pPr>
              <w:widowControl/>
              <w:numPr>
                <w:ilvl w:val="0"/>
                <w:numId w:val="2"/>
              </w:numPr>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具备常态化的数据资源服务状态的监控能力，实时展示各类数据被使用的现状及趋势。</w:t>
            </w:r>
          </w:p>
          <w:p w14:paraId="284EADFA">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监控每个应用当前已经审核获批允许访问的数据资源的详情，至少包括该应用使用了哪些数据接口类型，每种类型下分别包含哪些资源对象，每个资源的申请审批记录，每个审核节点的详情信息，每个资源下授权了哪些字段，各个字段是否使用了加密、脱敏的安全控制策略，是否允许回写数据等等。</w:t>
            </w:r>
          </w:p>
          <w:p w14:paraId="4BE69C44">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支持对API接口可用性进行测试，验证接口的可访问性和数据可用性。</w:t>
            </w:r>
          </w:p>
          <w:p w14:paraId="1FEDFEF4">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支持监控每个应用实际调用数据资源的详情，至少包括该应用对每个资源调用的次数，可查看调用频次的趋势图。</w:t>
            </w:r>
          </w:p>
          <w:p w14:paraId="47D8B80A">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对数据资源提供服务时的性能进行监控，提供检查每个API数据接口在数据库查询阶段和API封装阶段的时间消耗功能。</w:t>
            </w:r>
          </w:p>
          <w:p w14:paraId="0D0EF72D">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自动扫描检查每个数据资源的服务有效性。支持自动化定期扫描或手工执行扫描。扫描后可查看扫描执行的时间、扫描消耗的时长、扫描的数据资源总数以及其中正常/异常的数量，并可以查看异常资源的具体名称和发生异常的原因。</w:t>
            </w:r>
          </w:p>
          <w:p w14:paraId="6243B8CF">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当出现数据资源服务故障时，支持监控每个数据资源提供服务时出错的详情。至少包括数据资源的名称、应用的名称、发生故障的时间点、错误原因和错误日志的明细内容。</w:t>
            </w:r>
          </w:p>
          <w:p w14:paraId="2031DC9E">
            <w:pPr>
              <w:widowControl/>
              <w:adjustRightInd w:val="0"/>
              <w:snapToGrid w:val="0"/>
              <w:spacing w:line="240" w:lineRule="auto"/>
              <w:ind w:firstLine="360" w:firstLineChars="200"/>
              <w:rPr>
                <w:rFonts w:ascii="宋体" w:hAnsi="宋体" w:cs="宋体"/>
                <w:b/>
                <w:bCs/>
                <w:kern w:val="0"/>
                <w:sz w:val="18"/>
                <w:szCs w:val="18"/>
              </w:rPr>
            </w:pPr>
            <w:r>
              <w:rPr>
                <w:rFonts w:hint="eastAsia" w:ascii="仿宋" w:hAnsi="仿宋" w:eastAsia="仿宋"/>
                <w:sz w:val="18"/>
                <w:szCs w:val="18"/>
              </w:rPr>
              <w:t>支持对数据清单接口调用失败进行监测，提供查看接口调用失败的记录能。</w:t>
            </w:r>
          </w:p>
        </w:tc>
      </w:tr>
      <w:tr w14:paraId="650859C7">
        <w:tblPrEx>
          <w:tblCellMar>
            <w:top w:w="0" w:type="dxa"/>
            <w:left w:w="108" w:type="dxa"/>
            <w:bottom w:w="0" w:type="dxa"/>
            <w:right w:w="108" w:type="dxa"/>
          </w:tblCellMar>
        </w:tblPrEx>
        <w:trPr>
          <w:trHeight w:val="121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30F95">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1046" w:type="dxa"/>
            <w:tcBorders>
              <w:top w:val="single" w:color="000000" w:sz="4" w:space="0"/>
              <w:left w:val="single" w:color="000000" w:sz="4" w:space="0"/>
              <w:bottom w:val="single" w:color="000000" w:sz="4" w:space="0"/>
              <w:right w:val="single" w:color="000000" w:sz="4" w:space="0"/>
            </w:tcBorders>
            <w:vAlign w:val="center"/>
          </w:tcPr>
          <w:p w14:paraId="73B92A33">
            <w:pPr>
              <w:widowControl/>
              <w:jc w:val="center"/>
              <w:rPr>
                <w:rFonts w:ascii="宋体" w:hAnsi="宋体" w:cs="宋体"/>
                <w:b/>
                <w:bCs/>
                <w:kern w:val="0"/>
                <w:sz w:val="18"/>
                <w:szCs w:val="18"/>
              </w:rPr>
            </w:pPr>
            <w:r>
              <w:rPr>
                <w:rFonts w:hint="eastAsia" w:ascii="宋体" w:hAnsi="宋体" w:cs="宋体"/>
                <w:b/>
                <w:bCs/>
                <w:kern w:val="0"/>
                <w:sz w:val="18"/>
                <w:szCs w:val="18"/>
              </w:rPr>
              <w:t>数据门户</w:t>
            </w:r>
          </w:p>
        </w:tc>
        <w:tc>
          <w:tcPr>
            <w:tcW w:w="6327" w:type="dxa"/>
            <w:tcBorders>
              <w:top w:val="single" w:color="auto" w:sz="4" w:space="0"/>
              <w:left w:val="single" w:color="000000" w:sz="4" w:space="0"/>
              <w:bottom w:val="single" w:color="auto" w:sz="4" w:space="0"/>
              <w:right w:val="single" w:color="000000" w:sz="4" w:space="0"/>
            </w:tcBorders>
            <w:vAlign w:val="center"/>
          </w:tcPr>
          <w:p w14:paraId="58CE2D81">
            <w:pPr>
              <w:widowControl/>
              <w:adjustRightInd w:val="0"/>
              <w:snapToGrid w:val="0"/>
              <w:spacing w:line="240" w:lineRule="auto"/>
              <w:ind w:firstLine="361" w:firstLineChars="200"/>
              <w:rPr>
                <w:rFonts w:ascii="仿宋" w:hAnsi="仿宋" w:eastAsia="仿宋"/>
                <w:b/>
                <w:sz w:val="18"/>
                <w:szCs w:val="18"/>
              </w:rPr>
            </w:pPr>
            <w:r>
              <w:rPr>
                <w:rFonts w:hint="eastAsia" w:ascii="仿宋" w:hAnsi="仿宋" w:eastAsia="仿宋"/>
                <w:b/>
                <w:sz w:val="18"/>
                <w:szCs w:val="18"/>
              </w:rPr>
              <w:t>4.1运行状态监控：</w:t>
            </w:r>
          </w:p>
          <w:p w14:paraId="7F38CDDE">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至少支持接口超限、访问、调用异常等维度监控，支持查看应用调用数据超限详情，至少包括每小时或每天、每月超出限额的情况。</w:t>
            </w:r>
          </w:p>
          <w:p w14:paraId="75DDFFB6">
            <w:pPr>
              <w:widowControl/>
              <w:adjustRightInd w:val="0"/>
              <w:snapToGrid w:val="0"/>
              <w:spacing w:line="240" w:lineRule="auto"/>
              <w:ind w:firstLine="361" w:firstLineChars="200"/>
              <w:rPr>
                <w:rFonts w:ascii="仿宋" w:hAnsi="仿宋" w:eastAsia="仿宋"/>
                <w:b/>
                <w:sz w:val="18"/>
                <w:szCs w:val="18"/>
              </w:rPr>
            </w:pPr>
            <w:r>
              <w:rPr>
                <w:rFonts w:hint="eastAsia" w:ascii="仿宋" w:hAnsi="仿宋" w:eastAsia="仿宋"/>
                <w:b/>
                <w:sz w:val="18"/>
                <w:szCs w:val="18"/>
              </w:rPr>
              <w:t>4.2资产目录总览：</w:t>
            </w:r>
          </w:p>
          <w:p w14:paraId="688C3D1D">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支持查看数据资产目录的总览，至少包括数据来源部门及系统，发布数据清单、代码表、数据项等个数，支持查看数据量、累计申请次数、为几个业务部门及应用系统提供了数据支撑等。</w:t>
            </w:r>
          </w:p>
          <w:p w14:paraId="1C174DCC">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支持查看数据集市建设情况总览，至少支持查看数据集发布、下载、申请情况的热度排名。</w:t>
            </w:r>
          </w:p>
          <w:p w14:paraId="2B99F4E1">
            <w:pPr>
              <w:widowControl/>
              <w:adjustRightInd w:val="0"/>
              <w:snapToGrid w:val="0"/>
              <w:spacing w:line="240" w:lineRule="auto"/>
              <w:ind w:firstLine="361" w:firstLineChars="200"/>
              <w:rPr>
                <w:rFonts w:ascii="仿宋" w:hAnsi="仿宋" w:eastAsia="仿宋"/>
                <w:b/>
                <w:sz w:val="18"/>
                <w:szCs w:val="18"/>
              </w:rPr>
            </w:pPr>
            <w:r>
              <w:rPr>
                <w:rFonts w:hint="eastAsia" w:ascii="仿宋" w:hAnsi="仿宋" w:eastAsia="仿宋"/>
                <w:b/>
                <w:sz w:val="18"/>
                <w:szCs w:val="18"/>
              </w:rPr>
              <w:t>4.3数据资源服务情况展示：</w:t>
            </w:r>
          </w:p>
          <w:p w14:paraId="20E96433">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展示校级数据资产服务情况须提供情况展示功能，至少包括全校数据资产概览、数据共享交换情况、数据供需情况、数据质量情况等；</w:t>
            </w:r>
          </w:p>
          <w:p w14:paraId="6AAEB8D4">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包括但不限于采集了多少个业务部门多少个生产库的数据、已完成了多少个数据标准模型、代码表、编码规则的建设、有多少个符合标准的数据清单能够对外开放，且各个模块均支持下钻展示更详细的信息；</w:t>
            </w:r>
          </w:p>
          <w:p w14:paraId="298F3286">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支持对业务部门进行下钻展示详细的部门名称、各部门需要遵循的数据标准表有多少个、各部门根据数据标准需提供的数据清单个数、已提供的个数及未提供的个数；</w:t>
            </w:r>
          </w:p>
          <w:p w14:paraId="14D8A5B8">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支持对生产库进行下钻展示详细的系统名称、各系统归属的管理部门，各系统的原始表数量及已提供的表数量；</w:t>
            </w:r>
          </w:p>
          <w:p w14:paraId="62403468">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支持对数据标准模型、代码表、编码规则进行下钻展示数据标准模型数量、标准模型涉及的数据项数量及涉及的部门数量，展示代码表的数量及涉及的字段数量，展示编码规则数量及被调用情况；</w:t>
            </w:r>
          </w:p>
          <w:p w14:paraId="51307984">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支持对数据资源进行下钻展示资源提供情况（包括已/未提供表及涉及的字段数）、资源的重要性（包含重要资源表及重要信息项）</w:t>
            </w:r>
          </w:p>
          <w:p w14:paraId="0B50BF43">
            <w:pPr>
              <w:widowControl/>
              <w:adjustRightInd w:val="0"/>
              <w:snapToGrid w:val="0"/>
              <w:spacing w:line="240" w:lineRule="auto"/>
              <w:ind w:firstLine="361" w:firstLineChars="200"/>
              <w:rPr>
                <w:rFonts w:ascii="仿宋" w:hAnsi="仿宋" w:eastAsia="仿宋"/>
                <w:b/>
                <w:sz w:val="18"/>
                <w:szCs w:val="18"/>
              </w:rPr>
            </w:pPr>
            <w:r>
              <w:rPr>
                <w:rFonts w:hint="eastAsia" w:ascii="仿宋" w:hAnsi="仿宋" w:eastAsia="仿宋"/>
                <w:b/>
                <w:sz w:val="18"/>
                <w:szCs w:val="18"/>
              </w:rPr>
              <w:t>4.4数据共享交换情况展示：</w:t>
            </w:r>
          </w:p>
          <w:p w14:paraId="29AE63C0">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1）支持在一个图中展示学校所有业务部门与数据中心的数据共享交换情况，能够直观展示每个业务部门共享至数据中心的表数量、支持下钻查看详情（包括下钻后的数据检索功能、数据在部门端的表名称、表所属业务系统，及共享至数据中心后的表名称）；</w:t>
            </w:r>
          </w:p>
          <w:p w14:paraId="620A622A">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2）支持展示数据中心通过不同方式（ETL方式、API方式等）交换至每个业务部门的表数量、支持下钻查看详情（包括下钻后的数据检索功能、数据在数据中心的表名称、交换后的目标业务系统、表名称及数据最近更新时间）；</w:t>
            </w:r>
          </w:p>
          <w:p w14:paraId="53405C23">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3）支持汇总展示数据表总量、已共享交换表数量及涉及交换部门数量；</w:t>
            </w:r>
          </w:p>
          <w:p w14:paraId="22A0B020">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4）支持对业务部门进行下钻展示部门负责的数据表个数、字段个数，数据异常趋势图、异常数据百分比及已提供数据百分比；</w:t>
            </w:r>
          </w:p>
          <w:p w14:paraId="45D3BC71">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5）支持针对单个数据对象查看该表的全链路分析，提供该表从来源采集、生产加工、资源发布及被应用调用后的全局数据流向图，支持查看表级、字段级数据流向展示功能。</w:t>
            </w:r>
          </w:p>
          <w:p w14:paraId="67C60836">
            <w:pPr>
              <w:widowControl/>
              <w:adjustRightInd w:val="0"/>
              <w:snapToGrid w:val="0"/>
              <w:spacing w:line="240" w:lineRule="auto"/>
              <w:ind w:firstLine="361" w:firstLineChars="200"/>
              <w:rPr>
                <w:rFonts w:ascii="仿宋" w:hAnsi="仿宋" w:eastAsia="仿宋"/>
                <w:b/>
                <w:sz w:val="18"/>
                <w:szCs w:val="18"/>
              </w:rPr>
            </w:pPr>
            <w:r>
              <w:rPr>
                <w:rFonts w:hint="eastAsia" w:ascii="仿宋" w:hAnsi="仿宋" w:eastAsia="仿宋"/>
                <w:b/>
                <w:sz w:val="18"/>
                <w:szCs w:val="18"/>
              </w:rPr>
              <w:t>4.5部门数据展示：</w:t>
            </w:r>
          </w:p>
          <w:p w14:paraId="56C21C67">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支持汇总展示全校各部门已/未提供数据字段数量，支持按部门展示已/未提供数据字段数量及提供率；</w:t>
            </w:r>
          </w:p>
          <w:p w14:paraId="230166AE">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支持直观展示部门模型确认情况排名：包括归属某部门职责范围内需要确认的标准模型总数量、确认无误数量、确认异常数量及尚未确认数量；</w:t>
            </w:r>
          </w:p>
          <w:p w14:paraId="6F7C88F8">
            <w:pPr>
              <w:widowControl/>
              <w:adjustRightInd w:val="0"/>
              <w:snapToGrid w:val="0"/>
              <w:spacing w:line="240" w:lineRule="auto"/>
              <w:ind w:firstLine="361" w:firstLineChars="200"/>
              <w:rPr>
                <w:rFonts w:ascii="仿宋" w:hAnsi="仿宋" w:eastAsia="仿宋"/>
                <w:b/>
                <w:sz w:val="18"/>
                <w:szCs w:val="18"/>
              </w:rPr>
            </w:pPr>
            <w:r>
              <w:rPr>
                <w:rFonts w:hint="eastAsia" w:ascii="仿宋" w:hAnsi="仿宋" w:eastAsia="仿宋"/>
                <w:b/>
                <w:sz w:val="18"/>
                <w:szCs w:val="18"/>
              </w:rPr>
              <w:t>4.6数据质量情况展示：</w:t>
            </w:r>
          </w:p>
          <w:p w14:paraId="3712855D">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汇总展示当日数据质量检测情况，至少包括正常数据、异常数据及合格率等；支持汇总展示全校数据治理概览，至少包括总体概况（表数量、信息项数量、数据量）、质量情况（问题表、问题信息项、问题数量）、处理情况（已解决数量、未解决数量、新增问题数量）、检测情况（检测规则数、检测表数、检测字段数）及重要字段（重要字段数及重要字段问题率）。</w:t>
            </w:r>
          </w:p>
          <w:p w14:paraId="4FFA182A">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 xml:space="preserve">支持直观展示各部门数据治理排行，展示内容至少包括部门名称、总检测项、异常项、异常率； </w:t>
            </w:r>
          </w:p>
          <w:p w14:paraId="6ADB818F">
            <w:pPr>
              <w:widowControl/>
              <w:adjustRightInd w:val="0"/>
              <w:snapToGrid w:val="0"/>
              <w:spacing w:line="240" w:lineRule="auto"/>
              <w:ind w:firstLine="361" w:firstLineChars="200"/>
              <w:rPr>
                <w:rFonts w:ascii="仿宋" w:hAnsi="仿宋" w:eastAsia="仿宋"/>
                <w:b/>
                <w:sz w:val="18"/>
                <w:szCs w:val="18"/>
              </w:rPr>
            </w:pPr>
            <w:r>
              <w:rPr>
                <w:rFonts w:hint="eastAsia" w:ascii="仿宋" w:hAnsi="仿宋" w:eastAsia="仿宋"/>
                <w:b/>
                <w:sz w:val="18"/>
                <w:szCs w:val="18"/>
              </w:rPr>
              <w:t>4.7数据标准查看：</w:t>
            </w:r>
          </w:p>
          <w:p w14:paraId="4F9BC1EF">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支持通过数据服务门户查看数据标准模型、代码集、编码规则等相关信息。</w:t>
            </w:r>
          </w:p>
          <w:p w14:paraId="56AFBA92">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支持数据标准模型按照模型分类或检索查看某张具体模型表的详细信息，至少包括模型表名称、归属的责任部门、最近更新时间、字段数量及字段说明信息；</w:t>
            </w:r>
          </w:p>
          <w:p w14:paraId="66303657">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支持代码表按照分类或检索查看某张代码表的详细信息，至少包括代码表名称、代码记录数、被引用次数、最新更新时间、发布时间，支持下钻查看代码详细及代码的下载，支持新建代码集；</w:t>
            </w:r>
          </w:p>
          <w:p w14:paraId="3AA6B650">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支持编码规则按照分类或检索产看某个编码规则文档详情，至少包括编码规则文档名、被引用次数、最新更新时间及背部时间，支持下钻查看编码规则文档详情、文档下载及提交编码规则使用申请；</w:t>
            </w:r>
          </w:p>
          <w:p w14:paraId="77459EF4">
            <w:pPr>
              <w:widowControl/>
              <w:adjustRightInd w:val="0"/>
              <w:snapToGrid w:val="0"/>
              <w:spacing w:line="240" w:lineRule="auto"/>
              <w:ind w:firstLine="361" w:firstLineChars="200"/>
              <w:rPr>
                <w:rFonts w:ascii="仿宋" w:hAnsi="仿宋" w:eastAsia="仿宋"/>
                <w:b/>
                <w:sz w:val="18"/>
                <w:szCs w:val="18"/>
              </w:rPr>
            </w:pPr>
            <w:r>
              <w:rPr>
                <w:rFonts w:hint="eastAsia" w:ascii="仿宋" w:hAnsi="仿宋" w:eastAsia="仿宋"/>
                <w:b/>
                <w:sz w:val="18"/>
                <w:szCs w:val="18"/>
              </w:rPr>
              <w:t>4.8数据集市：</w:t>
            </w:r>
          </w:p>
          <w:p w14:paraId="1C4B3880">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1）支持前台用户对数据清单进行检索，支持查看集市清单的详情，至少包括：字段说明、数据预览等；</w:t>
            </w:r>
          </w:p>
          <w:p w14:paraId="0BCFD6C1">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支持对API接口数据进行测试，验证API接口返回内容的有效性、并支持转换为json2数据进行查看，支持查看接口参数约定和调用API示例。</w:t>
            </w:r>
          </w:p>
          <w:p w14:paraId="39F2E4A3">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在查询的数据量为1万条以上记录的情况下，1万并发用户查看单条数据的响应时间小于1秒。数据共享开放的数据量为50万时，请求响应时间小于2秒，数据交换耗时小于60秒。</w:t>
            </w:r>
          </w:p>
          <w:p w14:paraId="0BE3A7C1">
            <w:pPr>
              <w:widowControl/>
              <w:adjustRightInd w:val="0"/>
              <w:snapToGrid w:val="0"/>
              <w:spacing w:line="240" w:lineRule="auto"/>
              <w:ind w:firstLine="361" w:firstLineChars="200"/>
              <w:rPr>
                <w:rFonts w:ascii="仿宋" w:hAnsi="仿宋" w:eastAsia="仿宋"/>
                <w:b/>
                <w:sz w:val="18"/>
                <w:szCs w:val="18"/>
              </w:rPr>
            </w:pPr>
            <w:r>
              <w:rPr>
                <w:rFonts w:hint="eastAsia" w:ascii="仿宋" w:hAnsi="仿宋" w:eastAsia="仿宋"/>
                <w:b/>
                <w:sz w:val="18"/>
                <w:szCs w:val="18"/>
              </w:rPr>
              <w:t xml:space="preserve">4.9申请数据资源：  </w:t>
            </w:r>
          </w:p>
          <w:p w14:paraId="2D253CB4">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数据资源目录中支持自选数据资源，提供在线提交使用申请功能。申请时可指定所需的字段范围，支持在线进行数据使用保密协议的签订。提供购物车模式，支持批量申请。支持对数据资源进行收藏，对API接口提供数据测试验证连通性和有效性功能。</w:t>
            </w:r>
          </w:p>
          <w:p w14:paraId="4BAD7144">
            <w:pPr>
              <w:widowControl/>
              <w:adjustRightInd w:val="0"/>
              <w:snapToGrid w:val="0"/>
              <w:spacing w:line="240" w:lineRule="auto"/>
              <w:ind w:firstLine="361" w:firstLineChars="200"/>
              <w:rPr>
                <w:rFonts w:ascii="仿宋" w:hAnsi="仿宋" w:eastAsia="仿宋"/>
                <w:b/>
                <w:sz w:val="18"/>
                <w:szCs w:val="18"/>
              </w:rPr>
            </w:pPr>
            <w:r>
              <w:rPr>
                <w:rFonts w:hint="eastAsia" w:ascii="仿宋" w:hAnsi="仿宋" w:eastAsia="仿宋"/>
                <w:b/>
                <w:sz w:val="18"/>
                <w:szCs w:val="18"/>
              </w:rPr>
              <w:t>4.10审批数据申请：</w:t>
            </w:r>
          </w:p>
          <w:p w14:paraId="2B45EF67">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数据用户发起数据资源申请后，系统支持预定义的审核流程模式自动生成相应的审核流程，并在相关审核人的界面中予以提示，提醒尽快进行审核处理。</w:t>
            </w:r>
          </w:p>
          <w:p w14:paraId="52807400">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在审核流程流转过程中，系统支持申请的各个字段的不同来源部门，自动将各个字段的审核权限呈现在其对应来源部门的审核界面中，无需一一人工指定。一次审核中涉及多个来源部门时，系统支持自动将流程平台投送到多个部门。</w:t>
            </w:r>
          </w:p>
          <w:p w14:paraId="0E8650EC">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在审核流程流转过程中，某个审核节点完成审核动作后，系统支持预先定义的审核流程模式，自动将审核事项流转到下一个审核节点，直至整个审核流程执行完成。</w:t>
            </w:r>
          </w:p>
          <w:p w14:paraId="3B4C8EB8">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审核时，支持审核者对申请者提交的字段范围进行筛选，支持设置数据的筛选条件，支持多条件逻辑组合；支持设置数据资源的有效访问时段，时间段的颗粒度至少精细到一天；支持对特定字段启用加密和脱敏策略。</w:t>
            </w:r>
          </w:p>
          <w:p w14:paraId="7357D3DC">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只有审核流程全部通过并结束后，申请者才能获得数据资源的连接参数，使用数据时，系统至少支持审核时获批的字段范围、筛选条件、访问时段、加密脱敏、有效源地址等限制策略，确保数据申请者在上述限制条件的控制下连接并访问数据资源。</w:t>
            </w:r>
          </w:p>
          <w:p w14:paraId="4445D60E">
            <w:pPr>
              <w:widowControl/>
              <w:adjustRightInd w:val="0"/>
              <w:snapToGrid w:val="0"/>
              <w:spacing w:line="240" w:lineRule="auto"/>
              <w:rPr>
                <w:rFonts w:ascii="仿宋" w:hAnsi="仿宋" w:eastAsia="仿宋"/>
                <w:b/>
                <w:sz w:val="18"/>
                <w:szCs w:val="18"/>
              </w:rPr>
            </w:pPr>
            <w:r>
              <w:rPr>
                <w:rFonts w:hint="eastAsia" w:ascii="仿宋" w:hAnsi="仿宋" w:eastAsia="仿宋"/>
                <w:b/>
                <w:sz w:val="18"/>
                <w:szCs w:val="18"/>
              </w:rPr>
              <w:t>4.11部门目录：</w:t>
            </w:r>
          </w:p>
          <w:p w14:paraId="75D5E5FF">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至少支持按部门查看各部门的数据清单、采集清单、标准模型。</w:t>
            </w:r>
          </w:p>
          <w:p w14:paraId="6451FB20">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 xml:space="preserve">支持按照部门视角查看数据流向地图，流向包括但不限于数据从业务系统到ODS、DW及数据被应用调用的情况，支持下钻查看ETL、API等类型接口的详细信息，ETL接口详细信息包括接口状态、接口名称、接口来源、最近更新时间、源库及表名称、目标库及表名称； </w:t>
            </w:r>
          </w:p>
          <w:p w14:paraId="433FE622">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支持按权限查看标准模型的确认状态。</w:t>
            </w:r>
          </w:p>
          <w:p w14:paraId="4A002503">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支持按权限查看本部门与数据中心的数据交换情况，及交换涉及的集成接口、集市清单；</w:t>
            </w:r>
          </w:p>
          <w:p w14:paraId="1FE99340">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按权限按照不同维度（包括按系统、重要性、上架状态、开放状态、安全级别）查看本部门数据资源情况，支持按权限导出数据资源目录及下载部门数据字典，支持下钻查看某张表的字段说明、数据预览、数据溯源及数据互动（包括建议或意见、数据纠错、质量需求及其他需求反馈）；</w:t>
            </w:r>
          </w:p>
          <w:p w14:paraId="39784FEF">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支持按权限查看本部门的采集清单，支持采集清单下载到本地；</w:t>
            </w:r>
          </w:p>
          <w:p w14:paraId="2DE5E31E">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支持按权限查看本部门用户申请的数据情况及对其他部门提供的数据情况；</w:t>
            </w:r>
          </w:p>
          <w:p w14:paraId="19E4D695">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支持按权限按部门查看各部门的数据清单、采集清单、标准模型。</w:t>
            </w:r>
          </w:p>
          <w:p w14:paraId="79ED1DD4">
            <w:pPr>
              <w:widowControl/>
              <w:adjustRightInd w:val="0"/>
              <w:snapToGrid w:val="0"/>
              <w:spacing w:line="240" w:lineRule="auto"/>
              <w:rPr>
                <w:rFonts w:ascii="仿宋" w:hAnsi="仿宋" w:eastAsia="仿宋"/>
                <w:b/>
                <w:sz w:val="18"/>
                <w:szCs w:val="18"/>
              </w:rPr>
            </w:pPr>
            <w:r>
              <w:rPr>
                <w:rFonts w:hint="eastAsia" w:ascii="仿宋" w:hAnsi="仿宋" w:eastAsia="仿宋"/>
                <w:b/>
                <w:sz w:val="18"/>
                <w:szCs w:val="18"/>
              </w:rPr>
              <w:t>4.12对已申请资源的管理：</w:t>
            </w:r>
          </w:p>
          <w:p w14:paraId="7D588305">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支持查看本人发起的的申请记录，至少包括待审核、审批通过及审批拒绝的记录详情；</w:t>
            </w:r>
          </w:p>
          <w:p w14:paraId="5B8724EE">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 xml:space="preserve">支持查看本人申请获批的各类数据资源的详情，至少包括API接口类、文本类、ETL接口类、DB类数据资源。 </w:t>
            </w:r>
          </w:p>
          <w:p w14:paraId="398C3FF6">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支持查看已创建的应用详情，至少包括应用名称、申请的接口数据、文本数据、ETL数据、DB数据、离线数据、数据标准及应用状态，支持查看、编辑、上架、删除及查看应用授权码；</w:t>
            </w:r>
          </w:p>
          <w:p w14:paraId="77C781C8">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支持查看API接口的调用类型说明、授权方式、调用频率设置、错误码说明信息查看及调用示例信息查看等。</w:t>
            </w:r>
          </w:p>
          <w:p w14:paraId="5FF4FA1B">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支持查看所有已提出的数据需求记录被审核情况，包括待审批、审批通过及审批拒绝的记录详情等；</w:t>
            </w:r>
          </w:p>
          <w:p w14:paraId="5BDBED9F">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提供数据详情查询界面，支持对数据资源的内容进行在线查看、检索。支持基于中文语义的检索条件设置，至少包括等于/不等于/有值/无值/开始于文字/结束于文字/不包含文字等各种条件。</w:t>
            </w:r>
          </w:p>
          <w:p w14:paraId="3F0ADAA7">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提供在线反馈功能，可查看新的数据需求、数据质量问题等。</w:t>
            </w:r>
          </w:p>
          <w:p w14:paraId="3969A37B">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平台支持不低于500用户并发查询，平均响应时间小于0.3秒，事务成功率100%；支持不低于1000用户并发查询，平均响应时间小于0.5秒，事务成功率99.9%。提供第三方机构出具的检测报告复印件或官网截图等有效证明材料并加盖公章。</w:t>
            </w:r>
          </w:p>
          <w:p w14:paraId="723305A0">
            <w:pPr>
              <w:widowControl/>
              <w:adjustRightInd w:val="0"/>
              <w:snapToGrid w:val="0"/>
              <w:spacing w:line="240" w:lineRule="auto"/>
              <w:rPr>
                <w:rFonts w:ascii="仿宋" w:hAnsi="仿宋" w:eastAsia="仿宋"/>
                <w:b/>
                <w:sz w:val="18"/>
                <w:szCs w:val="18"/>
              </w:rPr>
            </w:pPr>
            <w:r>
              <w:rPr>
                <w:rFonts w:hint="eastAsia" w:ascii="仿宋" w:hAnsi="仿宋" w:eastAsia="仿宋"/>
                <w:b/>
                <w:sz w:val="18"/>
                <w:szCs w:val="18"/>
              </w:rPr>
              <w:t>4.13 API托管功能：</w:t>
            </w:r>
          </w:p>
          <w:p w14:paraId="4E915E01">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提供第三方API托管功能，支持图形化界面交互式操作。托管代理过程中，支持API请求者发起API调用时，采用数据中心统一规定的鉴权方式；数据中心向API供应者发起API调用时，采用API供应者要求的特定鉴权方式，二者相互隔离互不影响。托管代理过程中，要求API的数据结构不发生变化。即API请求者向数据中心调用API，与直接向API供应者调用API时，返回信息的结构、内容完全一致。整个过程须自动化、透明化完成，实现近实时的API代理服务。</w:t>
            </w:r>
          </w:p>
          <w:p w14:paraId="57EA1C02">
            <w:pPr>
              <w:widowControl/>
              <w:adjustRightInd w:val="0"/>
              <w:snapToGrid w:val="0"/>
              <w:spacing w:line="240" w:lineRule="auto"/>
              <w:ind w:firstLine="361" w:firstLineChars="200"/>
              <w:rPr>
                <w:rFonts w:ascii="宋体" w:hAnsi="宋体" w:cs="宋体"/>
                <w:b/>
                <w:bCs/>
                <w:kern w:val="0"/>
                <w:sz w:val="18"/>
                <w:szCs w:val="18"/>
              </w:rPr>
            </w:pPr>
          </w:p>
        </w:tc>
      </w:tr>
      <w:tr w14:paraId="170547B6">
        <w:tblPrEx>
          <w:tblCellMar>
            <w:top w:w="0" w:type="dxa"/>
            <w:left w:w="108" w:type="dxa"/>
            <w:bottom w:w="0" w:type="dxa"/>
            <w:right w:w="108" w:type="dxa"/>
          </w:tblCellMar>
        </w:tblPrEx>
        <w:trPr>
          <w:trHeight w:val="121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6A68">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5</w:t>
            </w:r>
          </w:p>
        </w:tc>
        <w:tc>
          <w:tcPr>
            <w:tcW w:w="1046" w:type="dxa"/>
            <w:tcBorders>
              <w:top w:val="single" w:color="000000" w:sz="4" w:space="0"/>
              <w:left w:val="single" w:color="000000" w:sz="4" w:space="0"/>
              <w:bottom w:val="single" w:color="000000" w:sz="4" w:space="0"/>
              <w:right w:val="single" w:color="000000" w:sz="4" w:space="0"/>
            </w:tcBorders>
            <w:vAlign w:val="center"/>
          </w:tcPr>
          <w:p w14:paraId="755350B6">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数据标准制定服务</w:t>
            </w:r>
          </w:p>
        </w:tc>
        <w:tc>
          <w:tcPr>
            <w:tcW w:w="6327" w:type="dxa"/>
            <w:tcBorders>
              <w:top w:val="single" w:color="auto" w:sz="4" w:space="0"/>
              <w:left w:val="single" w:color="000000" w:sz="4" w:space="0"/>
              <w:bottom w:val="single" w:color="auto" w:sz="4" w:space="0"/>
              <w:right w:val="single" w:color="000000" w:sz="4" w:space="0"/>
            </w:tcBorders>
            <w:vAlign w:val="center"/>
          </w:tcPr>
          <w:p w14:paraId="6149C02C">
            <w:pPr>
              <w:widowControl/>
              <w:adjustRightInd w:val="0"/>
              <w:snapToGrid w:val="0"/>
              <w:spacing w:line="240" w:lineRule="auto"/>
              <w:rPr>
                <w:rFonts w:ascii="仿宋" w:hAnsi="仿宋" w:eastAsia="仿宋"/>
                <w:sz w:val="18"/>
                <w:szCs w:val="18"/>
              </w:rPr>
            </w:pPr>
            <w:r>
              <w:rPr>
                <w:rFonts w:hint="eastAsia" w:ascii="仿宋" w:hAnsi="仿宋" w:eastAsia="仿宋"/>
                <w:sz w:val="18"/>
                <w:szCs w:val="18"/>
              </w:rPr>
              <w:t>校级数据标准</w:t>
            </w:r>
          </w:p>
          <w:p w14:paraId="25449C79">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1要求根据国家标准、代码标准，教育部标准、代码集，以及行业标准，并结合学校业务和数据特点进行归纳整理，建设一套符合学校实际情况的《元数据标准模型》、《标准代码集》；数据标准建设条目不少于 100 个；</w:t>
            </w:r>
          </w:p>
          <w:p w14:paraId="16F95F2C">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2结合学校实际情况编制和完善各项信息标准，给出信息分类编码规格说明书，建设形成一套符合学校自身信息化建设需要的管理信息化标准体系；制定有数据标准、数据交换标准、数据集成标准和接口集成规范等管理文件；能实现数据标准管理，有明确的数据标准管理办法和应用流程；</w:t>
            </w:r>
          </w:p>
          <w:p w14:paraId="2E67D1DA">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3标准的制定需根据我校已形成的事实数据标准，本着尽量减少对学校业务系统，管理过程的影响为原则，尽量符合国家标准、教育部标准为前提条件形成我校数据标准初稿。</w:t>
            </w:r>
          </w:p>
          <w:p w14:paraId="1E90E192">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4依据我校数据治理范围构建元数据子集相应的代码标准，每个元数据子集都对应着相应的标准代码，以及代码的定义与说明。</w:t>
            </w:r>
          </w:p>
          <w:p w14:paraId="54E0749B">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5依据我校数据治理范围制定学校自定义编码规范，提供相关规范文档。</w:t>
            </w:r>
          </w:p>
        </w:tc>
      </w:tr>
      <w:tr w14:paraId="6D808CA7">
        <w:tblPrEx>
          <w:tblCellMar>
            <w:top w:w="0" w:type="dxa"/>
            <w:left w:w="108" w:type="dxa"/>
            <w:bottom w:w="0" w:type="dxa"/>
            <w:right w:w="108" w:type="dxa"/>
          </w:tblCellMar>
        </w:tblPrEx>
        <w:trPr>
          <w:trHeight w:val="121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E8FE">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6</w:t>
            </w:r>
          </w:p>
        </w:tc>
        <w:tc>
          <w:tcPr>
            <w:tcW w:w="1046" w:type="dxa"/>
            <w:tcBorders>
              <w:top w:val="single" w:color="000000" w:sz="4" w:space="0"/>
              <w:left w:val="single" w:color="000000" w:sz="4" w:space="0"/>
              <w:bottom w:val="single" w:color="000000" w:sz="4" w:space="0"/>
              <w:right w:val="single" w:color="000000" w:sz="4" w:space="0"/>
            </w:tcBorders>
            <w:vAlign w:val="center"/>
          </w:tcPr>
          <w:p w14:paraId="770D24B3">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数据交换迁移服务</w:t>
            </w:r>
          </w:p>
        </w:tc>
        <w:tc>
          <w:tcPr>
            <w:tcW w:w="6327" w:type="dxa"/>
            <w:tcBorders>
              <w:top w:val="single" w:color="auto" w:sz="4" w:space="0"/>
              <w:left w:val="single" w:color="000000" w:sz="4" w:space="0"/>
              <w:bottom w:val="single" w:color="auto" w:sz="4" w:space="0"/>
              <w:right w:val="single" w:color="000000" w:sz="4" w:space="0"/>
            </w:tcBorders>
            <w:vAlign w:val="center"/>
          </w:tcPr>
          <w:p w14:paraId="218B55C3">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旧数据共享交换体系迁移</w:t>
            </w:r>
          </w:p>
          <w:p w14:paraId="1C41D490">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1.基础数据采集迁移至新建平台。涉及人事，教务，一卡通，图书馆等基础数据。</w:t>
            </w:r>
          </w:p>
          <w:p w14:paraId="60B31A54">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2.新建平台与各对接应用系统数据共享交换。主要为基础数据。</w:t>
            </w:r>
          </w:p>
        </w:tc>
      </w:tr>
      <w:tr w14:paraId="1DA1940C">
        <w:tblPrEx>
          <w:tblCellMar>
            <w:top w:w="0" w:type="dxa"/>
            <w:left w:w="108" w:type="dxa"/>
            <w:bottom w:w="0" w:type="dxa"/>
            <w:right w:w="108" w:type="dxa"/>
          </w:tblCellMar>
        </w:tblPrEx>
        <w:trPr>
          <w:trHeight w:val="1210"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E7FE8">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7</w:t>
            </w:r>
          </w:p>
        </w:tc>
        <w:tc>
          <w:tcPr>
            <w:tcW w:w="1046" w:type="dxa"/>
            <w:tcBorders>
              <w:top w:val="single" w:color="000000" w:sz="4" w:space="0"/>
              <w:left w:val="single" w:color="000000" w:sz="4" w:space="0"/>
              <w:bottom w:val="single" w:color="000000" w:sz="4" w:space="0"/>
              <w:right w:val="single" w:color="000000" w:sz="4" w:space="0"/>
            </w:tcBorders>
            <w:vAlign w:val="center"/>
          </w:tcPr>
          <w:p w14:paraId="68B959C9">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统一身份认证对接</w:t>
            </w:r>
          </w:p>
        </w:tc>
        <w:tc>
          <w:tcPr>
            <w:tcW w:w="6327" w:type="dxa"/>
            <w:tcBorders>
              <w:top w:val="single" w:color="auto" w:sz="4" w:space="0"/>
              <w:left w:val="single" w:color="000000" w:sz="4" w:space="0"/>
              <w:bottom w:val="single" w:color="000000" w:sz="4" w:space="0"/>
              <w:right w:val="single" w:color="000000" w:sz="4" w:space="0"/>
            </w:tcBorders>
            <w:vAlign w:val="center"/>
          </w:tcPr>
          <w:p w14:paraId="424E48AD">
            <w:pPr>
              <w:widowControl/>
              <w:adjustRightInd w:val="0"/>
              <w:snapToGrid w:val="0"/>
              <w:spacing w:line="240" w:lineRule="auto"/>
              <w:ind w:firstLine="360" w:firstLineChars="200"/>
              <w:rPr>
                <w:rFonts w:ascii="仿宋" w:hAnsi="仿宋" w:eastAsia="仿宋"/>
                <w:sz w:val="18"/>
                <w:szCs w:val="18"/>
              </w:rPr>
            </w:pPr>
            <w:r>
              <w:rPr>
                <w:rFonts w:hint="eastAsia" w:ascii="仿宋" w:hAnsi="仿宋" w:eastAsia="仿宋"/>
                <w:sz w:val="18"/>
                <w:szCs w:val="18"/>
              </w:rPr>
              <w:t>数据门户与统一身份认证对接，实现单点登录。</w:t>
            </w:r>
          </w:p>
        </w:tc>
      </w:tr>
    </w:tbl>
    <w:p w14:paraId="2355F845">
      <w:pPr>
        <w:pStyle w:val="9"/>
        <w:spacing w:line="240" w:lineRule="auto"/>
        <w:rPr>
          <w:sz w:val="18"/>
          <w:szCs w:val="18"/>
        </w:rPr>
      </w:pPr>
    </w:p>
    <w:p w14:paraId="6EDE16B2">
      <w:pPr>
        <w:pStyle w:val="9"/>
      </w:pPr>
      <w:r>
        <w:rPr>
          <w:rFonts w:hint="eastAsia"/>
        </w:rPr>
        <w:t>一期项目招标硬件技术要求</w:t>
      </w:r>
    </w:p>
    <w:tbl>
      <w:tblPr>
        <w:tblStyle w:val="7"/>
        <w:tblW w:w="7806" w:type="dxa"/>
        <w:jc w:val="center"/>
        <w:tblLayout w:type="fixed"/>
        <w:tblCellMar>
          <w:top w:w="0" w:type="dxa"/>
          <w:left w:w="108" w:type="dxa"/>
          <w:bottom w:w="0" w:type="dxa"/>
          <w:right w:w="108" w:type="dxa"/>
        </w:tblCellMar>
      </w:tblPr>
      <w:tblGrid>
        <w:gridCol w:w="616"/>
        <w:gridCol w:w="1261"/>
        <w:gridCol w:w="5929"/>
      </w:tblGrid>
      <w:tr w14:paraId="4A4BEFAB">
        <w:tblPrEx>
          <w:tblCellMar>
            <w:top w:w="0" w:type="dxa"/>
            <w:left w:w="108" w:type="dxa"/>
            <w:bottom w:w="0" w:type="dxa"/>
            <w:right w:w="108" w:type="dxa"/>
          </w:tblCellMar>
        </w:tblPrEx>
        <w:trPr>
          <w:trHeight w:val="121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AF8B0">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1261" w:type="dxa"/>
            <w:tcBorders>
              <w:top w:val="single" w:color="000000" w:sz="4" w:space="0"/>
              <w:left w:val="single" w:color="000000" w:sz="4" w:space="0"/>
              <w:bottom w:val="single" w:color="000000" w:sz="4" w:space="0"/>
              <w:right w:val="single" w:color="000000" w:sz="4" w:space="0"/>
            </w:tcBorders>
            <w:vAlign w:val="center"/>
          </w:tcPr>
          <w:p w14:paraId="7CB2237B">
            <w:pPr>
              <w:widowControl/>
              <w:jc w:val="center"/>
              <w:rPr>
                <w:rFonts w:ascii="宋体" w:hAnsi="宋体" w:cs="宋体"/>
                <w:b/>
                <w:bCs/>
                <w:kern w:val="0"/>
                <w:sz w:val="18"/>
                <w:szCs w:val="18"/>
              </w:rPr>
            </w:pPr>
            <w:r>
              <w:rPr>
                <w:rFonts w:hint="eastAsia" w:ascii="宋体" w:hAnsi="宋体" w:cs="宋体"/>
                <w:b/>
                <w:bCs/>
                <w:kern w:val="0"/>
                <w:sz w:val="18"/>
                <w:szCs w:val="18"/>
              </w:rPr>
              <w:t>配置</w:t>
            </w:r>
          </w:p>
        </w:tc>
        <w:tc>
          <w:tcPr>
            <w:tcW w:w="5929" w:type="dxa"/>
            <w:tcBorders>
              <w:top w:val="single" w:color="000000" w:sz="4" w:space="0"/>
              <w:left w:val="single" w:color="000000" w:sz="4" w:space="0"/>
              <w:bottom w:val="single" w:color="000000" w:sz="4" w:space="0"/>
              <w:right w:val="single" w:color="000000" w:sz="4" w:space="0"/>
            </w:tcBorders>
            <w:vAlign w:val="center"/>
          </w:tcPr>
          <w:p w14:paraId="588F913C">
            <w:pPr>
              <w:widowControl/>
              <w:jc w:val="center"/>
              <w:rPr>
                <w:rFonts w:ascii="宋体" w:hAnsi="宋体" w:cs="宋体"/>
                <w:b/>
                <w:bCs/>
                <w:kern w:val="0"/>
                <w:sz w:val="18"/>
                <w:szCs w:val="18"/>
              </w:rPr>
            </w:pPr>
            <w:r>
              <w:rPr>
                <w:rFonts w:hint="eastAsia" w:ascii="宋体" w:hAnsi="宋体" w:cs="宋体"/>
                <w:b/>
                <w:bCs/>
                <w:kern w:val="0"/>
                <w:sz w:val="18"/>
                <w:szCs w:val="18"/>
              </w:rPr>
              <w:t>详细参数</w:t>
            </w:r>
          </w:p>
        </w:tc>
      </w:tr>
      <w:tr w14:paraId="4A02D601">
        <w:tblPrEx>
          <w:tblCellMar>
            <w:top w:w="0" w:type="dxa"/>
            <w:left w:w="108" w:type="dxa"/>
            <w:bottom w:w="0" w:type="dxa"/>
            <w:right w:w="108" w:type="dxa"/>
          </w:tblCellMar>
        </w:tblPrEx>
        <w:trPr>
          <w:trHeight w:val="121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F0D6">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1261" w:type="dxa"/>
            <w:tcBorders>
              <w:top w:val="single" w:color="000000" w:sz="4" w:space="0"/>
              <w:left w:val="single" w:color="000000" w:sz="4" w:space="0"/>
              <w:bottom w:val="single" w:color="000000" w:sz="4" w:space="0"/>
              <w:right w:val="single" w:color="000000" w:sz="4" w:space="0"/>
            </w:tcBorders>
            <w:vAlign w:val="center"/>
          </w:tcPr>
          <w:p w14:paraId="7A3C7FA6">
            <w:pPr>
              <w:widowControl/>
              <w:jc w:val="center"/>
              <w:rPr>
                <w:rFonts w:ascii="宋体" w:hAnsi="宋体" w:cs="宋体"/>
                <w:b/>
                <w:bCs/>
                <w:kern w:val="0"/>
                <w:sz w:val="18"/>
                <w:szCs w:val="18"/>
              </w:rPr>
            </w:pPr>
            <w:r>
              <w:rPr>
                <w:rFonts w:hint="eastAsia" w:ascii="宋体" w:hAnsi="宋体" w:cs="宋体"/>
                <w:b/>
                <w:bCs/>
                <w:kern w:val="0"/>
                <w:sz w:val="18"/>
                <w:szCs w:val="18"/>
              </w:rPr>
              <w:t>服务器数量</w:t>
            </w:r>
          </w:p>
        </w:tc>
        <w:tc>
          <w:tcPr>
            <w:tcW w:w="5929" w:type="dxa"/>
            <w:tcBorders>
              <w:top w:val="single" w:color="000000" w:sz="4" w:space="0"/>
              <w:left w:val="single" w:color="000000" w:sz="4" w:space="0"/>
              <w:bottom w:val="single" w:color="000000" w:sz="4" w:space="0"/>
              <w:right w:val="single" w:color="000000" w:sz="4" w:space="0"/>
            </w:tcBorders>
            <w:vAlign w:val="center"/>
          </w:tcPr>
          <w:p w14:paraId="1C93C67E">
            <w:pPr>
              <w:widowControl/>
              <w:rPr>
                <w:rFonts w:ascii="宋体" w:hAnsi="宋体" w:cs="宋体"/>
                <w:bCs/>
                <w:kern w:val="0"/>
                <w:sz w:val="18"/>
                <w:szCs w:val="18"/>
              </w:rPr>
            </w:pPr>
            <w:r>
              <w:rPr>
                <w:rFonts w:hint="eastAsia" w:ascii="宋体" w:hAnsi="宋体" w:cs="宋体"/>
                <w:bCs/>
                <w:kern w:val="0"/>
                <w:sz w:val="18"/>
                <w:szCs w:val="18"/>
              </w:rPr>
              <w:t>2U机架式服务器2台，带导轨。</w:t>
            </w:r>
          </w:p>
        </w:tc>
      </w:tr>
      <w:tr w14:paraId="1CB9D97B">
        <w:tblPrEx>
          <w:tblCellMar>
            <w:top w:w="0" w:type="dxa"/>
            <w:left w:w="108" w:type="dxa"/>
            <w:bottom w:w="0" w:type="dxa"/>
            <w:right w:w="108" w:type="dxa"/>
          </w:tblCellMar>
        </w:tblPrEx>
        <w:trPr>
          <w:trHeight w:val="121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2C2F">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1261" w:type="dxa"/>
            <w:tcBorders>
              <w:top w:val="single" w:color="000000" w:sz="4" w:space="0"/>
              <w:left w:val="single" w:color="000000" w:sz="4" w:space="0"/>
              <w:bottom w:val="single" w:color="000000" w:sz="4" w:space="0"/>
              <w:right w:val="single" w:color="000000" w:sz="4" w:space="0"/>
            </w:tcBorders>
            <w:vAlign w:val="center"/>
          </w:tcPr>
          <w:p w14:paraId="4FAFF172">
            <w:pPr>
              <w:widowControl/>
              <w:jc w:val="center"/>
              <w:rPr>
                <w:rFonts w:ascii="宋体" w:hAnsi="宋体" w:cs="宋体"/>
                <w:b/>
                <w:bCs/>
                <w:kern w:val="0"/>
                <w:sz w:val="18"/>
                <w:szCs w:val="18"/>
              </w:rPr>
            </w:pPr>
            <w:r>
              <w:rPr>
                <w:rFonts w:ascii="宋体" w:hAnsi="宋体" w:cs="宋体"/>
                <w:b/>
                <w:bCs/>
                <w:kern w:val="0"/>
                <w:sz w:val="18"/>
                <w:szCs w:val="18"/>
              </w:rPr>
              <w:t>C</w:t>
            </w:r>
            <w:r>
              <w:rPr>
                <w:rFonts w:hint="eastAsia" w:ascii="宋体" w:hAnsi="宋体" w:cs="宋体"/>
                <w:b/>
                <w:bCs/>
                <w:kern w:val="0"/>
                <w:sz w:val="18"/>
                <w:szCs w:val="18"/>
              </w:rPr>
              <w:t>PU</w:t>
            </w:r>
          </w:p>
        </w:tc>
        <w:tc>
          <w:tcPr>
            <w:tcW w:w="5929" w:type="dxa"/>
            <w:tcBorders>
              <w:top w:val="single" w:color="000000" w:sz="4" w:space="0"/>
              <w:left w:val="single" w:color="000000" w:sz="4" w:space="0"/>
              <w:bottom w:val="single" w:color="000000" w:sz="4" w:space="0"/>
              <w:right w:val="single" w:color="000000" w:sz="4" w:space="0"/>
            </w:tcBorders>
            <w:vAlign w:val="center"/>
          </w:tcPr>
          <w:p w14:paraId="76759BD8">
            <w:pPr>
              <w:widowControl/>
              <w:rPr>
                <w:rFonts w:ascii="宋体" w:hAnsi="宋体" w:cs="宋体"/>
                <w:bCs/>
                <w:kern w:val="0"/>
                <w:sz w:val="18"/>
                <w:szCs w:val="18"/>
              </w:rPr>
            </w:pPr>
            <w:r>
              <w:rPr>
                <w:rFonts w:hint="eastAsia" w:ascii="宋体" w:hAnsi="宋体" w:cs="宋体"/>
                <w:bCs/>
                <w:kern w:val="0"/>
                <w:sz w:val="18"/>
                <w:szCs w:val="18"/>
              </w:rPr>
              <w:t>≥2颗；频率大于2.3GHz;性能不低于Intel Xeon Gold 5218 16核；</w:t>
            </w:r>
          </w:p>
        </w:tc>
      </w:tr>
      <w:tr w14:paraId="023CFBBA">
        <w:tblPrEx>
          <w:tblCellMar>
            <w:top w:w="0" w:type="dxa"/>
            <w:left w:w="108" w:type="dxa"/>
            <w:bottom w:w="0" w:type="dxa"/>
            <w:right w:w="108" w:type="dxa"/>
          </w:tblCellMar>
        </w:tblPrEx>
        <w:trPr>
          <w:trHeight w:val="121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78006">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1261" w:type="dxa"/>
            <w:tcBorders>
              <w:top w:val="single" w:color="000000" w:sz="4" w:space="0"/>
              <w:left w:val="single" w:color="000000" w:sz="4" w:space="0"/>
              <w:bottom w:val="single" w:color="000000" w:sz="4" w:space="0"/>
              <w:right w:val="single" w:color="000000" w:sz="4" w:space="0"/>
            </w:tcBorders>
            <w:vAlign w:val="center"/>
          </w:tcPr>
          <w:p w14:paraId="5F2A7DEA">
            <w:pPr>
              <w:widowControl/>
              <w:jc w:val="center"/>
              <w:rPr>
                <w:rFonts w:ascii="宋体" w:hAnsi="宋体" w:cs="宋体"/>
                <w:b/>
                <w:bCs/>
                <w:kern w:val="0"/>
                <w:sz w:val="18"/>
                <w:szCs w:val="18"/>
              </w:rPr>
            </w:pPr>
            <w:r>
              <w:rPr>
                <w:rFonts w:hint="eastAsia" w:ascii="宋体" w:hAnsi="宋体" w:cs="宋体"/>
                <w:b/>
                <w:bCs/>
                <w:kern w:val="0"/>
                <w:sz w:val="18"/>
                <w:szCs w:val="18"/>
              </w:rPr>
              <w:t>内存</w:t>
            </w:r>
          </w:p>
        </w:tc>
        <w:tc>
          <w:tcPr>
            <w:tcW w:w="5929" w:type="dxa"/>
            <w:tcBorders>
              <w:top w:val="single" w:color="000000" w:sz="4" w:space="0"/>
              <w:left w:val="single" w:color="000000" w:sz="4" w:space="0"/>
              <w:bottom w:val="single" w:color="000000" w:sz="4" w:space="0"/>
              <w:right w:val="single" w:color="000000" w:sz="4" w:space="0"/>
            </w:tcBorders>
            <w:vAlign w:val="center"/>
          </w:tcPr>
          <w:p w14:paraId="1544500F">
            <w:pPr>
              <w:widowControl/>
              <w:rPr>
                <w:rFonts w:ascii="宋体" w:hAnsi="宋体" w:cs="宋体"/>
                <w:bCs/>
                <w:kern w:val="0"/>
                <w:sz w:val="18"/>
                <w:szCs w:val="18"/>
              </w:rPr>
            </w:pPr>
            <w:r>
              <w:rPr>
                <w:rFonts w:hint="eastAsia" w:ascii="宋体" w:hAnsi="宋体" w:cs="宋体"/>
                <w:bCs/>
                <w:kern w:val="0"/>
                <w:sz w:val="18"/>
                <w:szCs w:val="18"/>
              </w:rPr>
              <w:t>≥2*64G</w:t>
            </w:r>
            <w:r>
              <w:rPr>
                <w:rFonts w:ascii="宋体" w:hAnsi="宋体" w:cs="宋体"/>
                <w:bCs/>
                <w:kern w:val="0"/>
                <w:sz w:val="18"/>
                <w:szCs w:val="18"/>
              </w:rPr>
              <w:t xml:space="preserve"> </w:t>
            </w:r>
            <w:r>
              <w:rPr>
                <w:rFonts w:hint="eastAsia" w:ascii="宋体" w:hAnsi="宋体" w:cs="宋体"/>
                <w:bCs/>
                <w:kern w:val="0"/>
                <w:sz w:val="18"/>
                <w:szCs w:val="18"/>
              </w:rPr>
              <w:t>DDR4 3200；32个内存插槽；</w:t>
            </w:r>
          </w:p>
        </w:tc>
      </w:tr>
      <w:tr w14:paraId="42CC58E8">
        <w:tblPrEx>
          <w:tblCellMar>
            <w:top w:w="0" w:type="dxa"/>
            <w:left w:w="108" w:type="dxa"/>
            <w:bottom w:w="0" w:type="dxa"/>
            <w:right w:w="108" w:type="dxa"/>
          </w:tblCellMar>
        </w:tblPrEx>
        <w:trPr>
          <w:trHeight w:val="121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1221B">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1261" w:type="dxa"/>
            <w:tcBorders>
              <w:top w:val="single" w:color="000000" w:sz="4" w:space="0"/>
              <w:left w:val="single" w:color="000000" w:sz="4" w:space="0"/>
              <w:bottom w:val="single" w:color="000000" w:sz="4" w:space="0"/>
              <w:right w:val="single" w:color="000000" w:sz="4" w:space="0"/>
            </w:tcBorders>
            <w:vAlign w:val="center"/>
          </w:tcPr>
          <w:p w14:paraId="7ABC4031">
            <w:pPr>
              <w:widowControl/>
              <w:jc w:val="center"/>
              <w:rPr>
                <w:rFonts w:ascii="宋体" w:hAnsi="宋体" w:cs="宋体"/>
                <w:b/>
                <w:bCs/>
                <w:kern w:val="0"/>
                <w:sz w:val="18"/>
                <w:szCs w:val="18"/>
              </w:rPr>
            </w:pPr>
            <w:r>
              <w:rPr>
                <w:rFonts w:hint="eastAsia" w:ascii="宋体" w:hAnsi="宋体" w:cs="宋体"/>
                <w:b/>
                <w:bCs/>
                <w:kern w:val="0"/>
                <w:sz w:val="18"/>
                <w:szCs w:val="18"/>
              </w:rPr>
              <w:t>硬盘</w:t>
            </w:r>
          </w:p>
        </w:tc>
        <w:tc>
          <w:tcPr>
            <w:tcW w:w="5929" w:type="dxa"/>
            <w:tcBorders>
              <w:top w:val="single" w:color="000000" w:sz="4" w:space="0"/>
              <w:left w:val="single" w:color="000000" w:sz="4" w:space="0"/>
              <w:bottom w:val="single" w:color="000000" w:sz="4" w:space="0"/>
              <w:right w:val="single" w:color="000000" w:sz="4" w:space="0"/>
            </w:tcBorders>
            <w:vAlign w:val="center"/>
          </w:tcPr>
          <w:p w14:paraId="1AB90992">
            <w:pPr>
              <w:widowControl/>
              <w:rPr>
                <w:rFonts w:ascii="宋体" w:hAnsi="宋体" w:cs="宋体"/>
                <w:bCs/>
                <w:kern w:val="0"/>
                <w:sz w:val="18"/>
                <w:szCs w:val="18"/>
              </w:rPr>
            </w:pPr>
            <w:r>
              <w:rPr>
                <w:rFonts w:hint="eastAsia" w:ascii="宋体" w:hAnsi="宋体" w:cs="宋体"/>
                <w:bCs/>
                <w:kern w:val="0"/>
                <w:sz w:val="18"/>
                <w:szCs w:val="18"/>
              </w:rPr>
              <w:t xml:space="preserve"> 4块1.2T SAS 10K 机械硬盘， RAID5保护数据安全。</w:t>
            </w:r>
          </w:p>
        </w:tc>
      </w:tr>
      <w:tr w14:paraId="67551E99">
        <w:tblPrEx>
          <w:tblCellMar>
            <w:top w:w="0" w:type="dxa"/>
            <w:left w:w="108" w:type="dxa"/>
            <w:bottom w:w="0" w:type="dxa"/>
            <w:right w:w="108" w:type="dxa"/>
          </w:tblCellMar>
        </w:tblPrEx>
        <w:trPr>
          <w:trHeight w:val="121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98564">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1261" w:type="dxa"/>
            <w:tcBorders>
              <w:top w:val="single" w:color="000000" w:sz="4" w:space="0"/>
              <w:left w:val="single" w:color="000000" w:sz="4" w:space="0"/>
              <w:bottom w:val="single" w:color="000000" w:sz="4" w:space="0"/>
              <w:right w:val="single" w:color="000000" w:sz="4" w:space="0"/>
            </w:tcBorders>
            <w:vAlign w:val="center"/>
          </w:tcPr>
          <w:p w14:paraId="45234695">
            <w:pPr>
              <w:widowControl/>
              <w:jc w:val="center"/>
              <w:rPr>
                <w:rFonts w:ascii="宋体" w:hAnsi="宋体" w:cs="宋体"/>
                <w:b/>
                <w:bCs/>
                <w:kern w:val="0"/>
                <w:sz w:val="18"/>
                <w:szCs w:val="18"/>
              </w:rPr>
            </w:pPr>
            <w:r>
              <w:rPr>
                <w:rFonts w:hint="eastAsia" w:ascii="宋体" w:hAnsi="宋体" w:cs="宋体"/>
                <w:b/>
                <w:bCs/>
                <w:kern w:val="0"/>
                <w:sz w:val="18"/>
                <w:szCs w:val="18"/>
              </w:rPr>
              <w:t>网卡</w:t>
            </w:r>
          </w:p>
        </w:tc>
        <w:tc>
          <w:tcPr>
            <w:tcW w:w="5929" w:type="dxa"/>
            <w:tcBorders>
              <w:top w:val="single" w:color="000000" w:sz="4" w:space="0"/>
              <w:left w:val="single" w:color="000000" w:sz="4" w:space="0"/>
              <w:bottom w:val="single" w:color="000000" w:sz="4" w:space="0"/>
              <w:right w:val="single" w:color="000000" w:sz="4" w:space="0"/>
            </w:tcBorders>
            <w:vAlign w:val="center"/>
          </w:tcPr>
          <w:p w14:paraId="45D022D4">
            <w:pPr>
              <w:widowControl/>
              <w:rPr>
                <w:rFonts w:ascii="宋体" w:hAnsi="宋体" w:cs="宋体"/>
                <w:bCs/>
                <w:kern w:val="0"/>
                <w:sz w:val="18"/>
                <w:szCs w:val="18"/>
              </w:rPr>
            </w:pPr>
            <w:r>
              <w:rPr>
                <w:rFonts w:hint="eastAsia" w:ascii="宋体" w:hAnsi="宋体" w:cs="宋体"/>
                <w:bCs/>
                <w:kern w:val="0"/>
                <w:sz w:val="18"/>
                <w:szCs w:val="18"/>
              </w:rPr>
              <w:t>4口千兆以太网卡,支持远程WEB管理功能。</w:t>
            </w:r>
          </w:p>
        </w:tc>
      </w:tr>
      <w:tr w14:paraId="0E2DE23B">
        <w:tblPrEx>
          <w:tblCellMar>
            <w:top w:w="0" w:type="dxa"/>
            <w:left w:w="108" w:type="dxa"/>
            <w:bottom w:w="0" w:type="dxa"/>
            <w:right w:w="108" w:type="dxa"/>
          </w:tblCellMar>
        </w:tblPrEx>
        <w:trPr>
          <w:trHeight w:val="121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532D0">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1261" w:type="dxa"/>
            <w:tcBorders>
              <w:top w:val="single" w:color="000000" w:sz="4" w:space="0"/>
              <w:left w:val="single" w:color="000000" w:sz="4" w:space="0"/>
              <w:bottom w:val="single" w:color="000000" w:sz="4" w:space="0"/>
              <w:right w:val="single" w:color="000000" w:sz="4" w:space="0"/>
            </w:tcBorders>
            <w:vAlign w:val="center"/>
          </w:tcPr>
          <w:p w14:paraId="5F49C96F">
            <w:pPr>
              <w:widowControl/>
              <w:jc w:val="center"/>
              <w:rPr>
                <w:rFonts w:ascii="宋体" w:hAnsi="宋体" w:cs="宋体"/>
                <w:b/>
                <w:bCs/>
                <w:kern w:val="0"/>
                <w:sz w:val="18"/>
                <w:szCs w:val="18"/>
              </w:rPr>
            </w:pPr>
            <w:r>
              <w:rPr>
                <w:rFonts w:hint="eastAsia" w:ascii="宋体" w:hAnsi="宋体" w:cs="宋体"/>
                <w:b/>
                <w:bCs/>
                <w:kern w:val="0"/>
                <w:sz w:val="18"/>
                <w:szCs w:val="18"/>
              </w:rPr>
              <w:t>电源</w:t>
            </w:r>
          </w:p>
        </w:tc>
        <w:tc>
          <w:tcPr>
            <w:tcW w:w="5929" w:type="dxa"/>
            <w:tcBorders>
              <w:top w:val="single" w:color="000000" w:sz="4" w:space="0"/>
              <w:left w:val="single" w:color="000000" w:sz="4" w:space="0"/>
              <w:bottom w:val="single" w:color="000000" w:sz="4" w:space="0"/>
              <w:right w:val="single" w:color="000000" w:sz="4" w:space="0"/>
            </w:tcBorders>
            <w:vAlign w:val="center"/>
          </w:tcPr>
          <w:p w14:paraId="5B63D7F2">
            <w:pPr>
              <w:widowControl/>
              <w:jc w:val="center"/>
              <w:rPr>
                <w:rFonts w:ascii="宋体" w:hAnsi="宋体" w:cs="宋体"/>
                <w:bCs/>
                <w:kern w:val="0"/>
                <w:sz w:val="18"/>
                <w:szCs w:val="18"/>
              </w:rPr>
            </w:pPr>
            <w:r>
              <w:rPr>
                <w:rFonts w:hint="eastAsia" w:ascii="宋体" w:hAnsi="宋体" w:cs="宋体"/>
                <w:bCs/>
                <w:kern w:val="0"/>
                <w:sz w:val="18"/>
                <w:szCs w:val="18"/>
              </w:rPr>
              <w:t>2个550W电源。</w:t>
            </w:r>
          </w:p>
        </w:tc>
      </w:tr>
    </w:tbl>
    <w:p w14:paraId="18E0424E">
      <w:pPr>
        <w:pStyle w:val="9"/>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2DD2"/>
    <w:multiLevelType w:val="singleLevel"/>
    <w:tmpl w:val="FBFF2DD2"/>
    <w:lvl w:ilvl="0" w:tentative="0">
      <w:start w:val="6"/>
      <w:numFmt w:val="decimal"/>
      <w:suff w:val="nothing"/>
      <w:lvlText w:val="%1）"/>
      <w:lvlJc w:val="left"/>
    </w:lvl>
  </w:abstractNum>
  <w:abstractNum w:abstractNumId="1">
    <w:nsid w:val="0CC9240F"/>
    <w:multiLevelType w:val="multilevel"/>
    <w:tmpl w:val="0CC9240F"/>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ZjM3MzI3N2NiNWJlYWY2MjIxODIzMmQyZjRjYmIifQ=="/>
  </w:docVars>
  <w:rsids>
    <w:rsidRoot w:val="B69C409B"/>
    <w:rsid w:val="000F1964"/>
    <w:rsid w:val="00210148"/>
    <w:rsid w:val="002C689C"/>
    <w:rsid w:val="002F457B"/>
    <w:rsid w:val="00356E00"/>
    <w:rsid w:val="0036450E"/>
    <w:rsid w:val="004B1EE5"/>
    <w:rsid w:val="005040F1"/>
    <w:rsid w:val="005D3E40"/>
    <w:rsid w:val="006B1D12"/>
    <w:rsid w:val="00723A14"/>
    <w:rsid w:val="007A76D8"/>
    <w:rsid w:val="007F70E9"/>
    <w:rsid w:val="008C3399"/>
    <w:rsid w:val="008D49DA"/>
    <w:rsid w:val="009228C5"/>
    <w:rsid w:val="00971EC1"/>
    <w:rsid w:val="00983B68"/>
    <w:rsid w:val="00A35B06"/>
    <w:rsid w:val="00B4355F"/>
    <w:rsid w:val="00BA1D7C"/>
    <w:rsid w:val="00E81AFC"/>
    <w:rsid w:val="00F52D9A"/>
    <w:rsid w:val="0D74384E"/>
    <w:rsid w:val="4B6D40CC"/>
    <w:rsid w:val="5BDB7B9C"/>
    <w:rsid w:val="60BC4B2A"/>
    <w:rsid w:val="6B772318"/>
    <w:rsid w:val="A68F3FA9"/>
    <w:rsid w:val="B69C409B"/>
    <w:rsid w:val="FE5F9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numPr>
        <w:ilvl w:val="1"/>
        <w:numId w:val="1"/>
      </w:numPr>
      <w:spacing w:before="240" w:after="60"/>
      <w:outlineLvl w:val="1"/>
    </w:pPr>
    <w:rPr>
      <w:rFonts w:ascii="Arial" w:hAnsi="Arial" w:eastAsia="黑体"/>
      <w:bCs/>
      <w:sz w:val="24"/>
      <w:szCs w:val="32"/>
    </w:rPr>
  </w:style>
  <w:style w:type="paragraph" w:styleId="3">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unhideWhenUsed/>
    <w:qFormat/>
    <w:uiPriority w:val="99"/>
    <w:pPr>
      <w:spacing w:after="120"/>
    </w:pPr>
    <w:rPr>
      <w:rFonts w:eastAsia="仿宋"/>
    </w:rPr>
  </w:style>
  <w:style w:type="paragraph" w:styleId="5">
    <w:name w:val="footer"/>
    <w:basedOn w:val="1"/>
    <w:link w:val="13"/>
    <w:uiPriority w:val="0"/>
    <w:pPr>
      <w:tabs>
        <w:tab w:val="center" w:pos="4153"/>
        <w:tab w:val="right" w:pos="8306"/>
      </w:tabs>
      <w:snapToGrid w:val="0"/>
      <w:spacing w:line="240" w:lineRule="auto"/>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9">
    <w:name w:val="首行缩进"/>
    <w:basedOn w:val="1"/>
    <w:qFormat/>
    <w:uiPriority w:val="0"/>
    <w:pPr>
      <w:ind w:firstLine="420"/>
    </w:pPr>
    <w:rPr>
      <w:rFonts w:cs="宋体"/>
      <w:szCs w:val="20"/>
    </w:rPr>
  </w:style>
  <w:style w:type="paragraph" w:styleId="10">
    <w:name w:val="List Paragraph"/>
    <w:basedOn w:val="1"/>
    <w:qFormat/>
    <w:uiPriority w:val="34"/>
    <w:pPr>
      <w:ind w:firstLine="420" w:firstLineChars="200"/>
    </w:pPr>
  </w:style>
  <w:style w:type="paragraph" w:styleId="11">
    <w:name w:val="No Spacing"/>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12">
    <w:name w:val="页眉 Char"/>
    <w:basedOn w:val="8"/>
    <w:link w:val="6"/>
    <w:autoRedefine/>
    <w:qFormat/>
    <w:uiPriority w:val="0"/>
    <w:rPr>
      <w:rFonts w:ascii="Times New Roman" w:hAnsi="Times New Roman" w:eastAsia="宋体" w:cs="Times New Roman"/>
      <w:kern w:val="2"/>
      <w:sz w:val="18"/>
      <w:szCs w:val="18"/>
    </w:rPr>
  </w:style>
  <w:style w:type="character" w:customStyle="1" w:styleId="13">
    <w:name w:val="页脚 Char"/>
    <w:basedOn w:val="8"/>
    <w:link w:val="5"/>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15163</Words>
  <Characters>15698</Characters>
  <Lines>113</Lines>
  <Paragraphs>31</Paragraphs>
  <TotalTime>47</TotalTime>
  <ScaleCrop>false</ScaleCrop>
  <LinksUpToDate>false</LinksUpToDate>
  <CharactersWithSpaces>15717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2024-07-18T04:58:00Z</dcterms:created>
  <dc:creator>A~朱瑾</dc:creator>
  <cp:lastModifiedBy>Administrator</cp:lastModifiedBy>
  <dcterms:modified xsi:type="dcterms:W3CDTF">2024-07-22T03:02:29Z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7B312A681AD440B7A16378813F4A3712_13</vt:lpwstr>
  </property>
</Properties>
</file>